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337316A2" w:rsidR="00722575" w:rsidRPr="00457F73" w:rsidRDefault="00A01F5F" w:rsidP="005A4F39">
      <w:pPr>
        <w:pStyle w:val="Header"/>
        <w:tabs>
          <w:tab w:val="right" w:pos="9072"/>
        </w:tabs>
        <w:rPr>
          <w:rFonts w:ascii="Arial" w:hAnsi="Arial" w:cs="Arial"/>
          <w:sz w:val="24"/>
          <w:szCs w:val="28"/>
          <w:lang w:val="en-CA"/>
        </w:rPr>
      </w:pPr>
      <w:bookmarkStart w:id="0" w:name="_Hlk67474238"/>
      <w:bookmarkEnd w:id="0"/>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12123B">
        <w:rPr>
          <w:rFonts w:ascii="Arial" w:hAnsi="Arial" w:cs="Arial"/>
          <w:sz w:val="24"/>
          <w:szCs w:val="28"/>
          <w:lang w:val="en-CA"/>
        </w:rPr>
        <w:t>9-e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F50ED6">
        <w:rPr>
          <w:rFonts w:ascii="Arial" w:hAnsi="Arial" w:cs="Arial"/>
          <w:sz w:val="24"/>
          <w:szCs w:val="28"/>
          <w:lang w:val="en-CA"/>
        </w:rPr>
        <w:t>10974</w:t>
      </w:r>
    </w:p>
    <w:p w14:paraId="4F58942D" w14:textId="2BF79893"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12123B">
        <w:rPr>
          <w:rFonts w:ascii="Arial" w:hAnsi="Arial" w:cs="Arial"/>
          <w:sz w:val="24"/>
          <w:szCs w:val="28"/>
          <w:lang w:val="en-CA"/>
        </w:rPr>
        <w:t>May</w:t>
      </w:r>
      <w:r w:rsidR="00142C2E">
        <w:rPr>
          <w:rFonts w:ascii="Arial" w:hAnsi="Arial" w:cs="Arial"/>
          <w:sz w:val="24"/>
          <w:szCs w:val="28"/>
          <w:lang w:val="en-CA"/>
        </w:rPr>
        <w:t xml:space="preserve"> </w:t>
      </w:r>
      <w:r w:rsidR="000722ED">
        <w:rPr>
          <w:rFonts w:ascii="Arial" w:hAnsi="Arial" w:cs="Arial"/>
          <w:sz w:val="24"/>
          <w:szCs w:val="28"/>
          <w:lang w:val="en-CA"/>
        </w:rPr>
        <w:t>1</w:t>
      </w:r>
      <w:r w:rsidR="0012123B">
        <w:rPr>
          <w:rFonts w:ascii="Arial" w:hAnsi="Arial" w:cs="Arial"/>
          <w:sz w:val="24"/>
          <w:szCs w:val="28"/>
          <w:lang w:val="en-CA"/>
        </w:rPr>
        <w:t>9</w:t>
      </w:r>
      <w:r w:rsidR="00142C2E">
        <w:rPr>
          <w:rFonts w:ascii="Arial" w:hAnsi="Arial" w:cs="Arial"/>
          <w:sz w:val="24"/>
          <w:szCs w:val="28"/>
          <w:lang w:val="en-CA"/>
        </w:rPr>
        <w:t xml:space="preserve"> </w:t>
      </w:r>
      <w:r w:rsidR="00946E1F">
        <w:rPr>
          <w:rFonts w:ascii="Arial" w:hAnsi="Arial" w:cs="Arial"/>
          <w:sz w:val="24"/>
          <w:szCs w:val="28"/>
          <w:lang w:val="en-CA"/>
        </w:rPr>
        <w:t>–</w:t>
      </w:r>
      <w:r w:rsidR="00142C2E">
        <w:rPr>
          <w:rFonts w:ascii="Arial" w:hAnsi="Arial" w:cs="Arial"/>
          <w:sz w:val="24"/>
          <w:szCs w:val="28"/>
          <w:lang w:val="en-CA"/>
        </w:rPr>
        <w:t xml:space="preserve"> </w:t>
      </w:r>
      <w:r w:rsidR="000722ED">
        <w:rPr>
          <w:rFonts w:ascii="Arial" w:hAnsi="Arial" w:cs="Arial"/>
          <w:sz w:val="24"/>
          <w:szCs w:val="28"/>
          <w:lang w:val="en-CA"/>
        </w:rPr>
        <w:t>2</w:t>
      </w:r>
      <w:r w:rsidR="0012123B">
        <w:rPr>
          <w:rFonts w:ascii="Arial" w:hAnsi="Arial" w:cs="Arial"/>
          <w:sz w:val="24"/>
          <w:szCs w:val="28"/>
          <w:lang w:val="en-CA"/>
        </w:rPr>
        <w:t>7</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188D6F8F" w:rsidR="00D80957" w:rsidRPr="00E42F63" w:rsidRDefault="00D80957" w:rsidP="0033186E">
      <w:pPr>
        <w:tabs>
          <w:tab w:val="left" w:pos="1985"/>
        </w:tabs>
        <w:spacing w:before="240" w:after="0"/>
        <w:jc w:val="both"/>
        <w:rPr>
          <w:rFonts w:ascii="Arial" w:hAnsi="Arial" w:cs="Arial"/>
          <w:bCs/>
          <w:sz w:val="22"/>
          <w:szCs w:val="22"/>
          <w:lang w:val="en-US"/>
        </w:rPr>
      </w:pPr>
      <w:r w:rsidRPr="00E42F63">
        <w:rPr>
          <w:rFonts w:ascii="Arial" w:hAnsi="Arial" w:cs="Arial"/>
          <w:b/>
          <w:sz w:val="22"/>
          <w:szCs w:val="22"/>
          <w:lang w:val="en-US"/>
        </w:rPr>
        <w:t>Agenda Item:</w:t>
      </w:r>
      <w:r w:rsidRPr="00E42F63">
        <w:rPr>
          <w:rFonts w:ascii="Arial" w:hAnsi="Arial" w:cs="Arial"/>
          <w:b/>
          <w:sz w:val="22"/>
          <w:szCs w:val="22"/>
          <w:lang w:val="en-US"/>
        </w:rPr>
        <w:tab/>
      </w:r>
      <w:r w:rsidR="00870E11">
        <w:rPr>
          <w:rFonts w:ascii="Arial" w:hAnsi="Arial" w:cs="Arial"/>
          <w:sz w:val="22"/>
          <w:szCs w:val="22"/>
          <w:lang w:val="en-US"/>
        </w:rPr>
        <w:t>9.18.2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CE94E6F" w:rsidR="00C43625"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70E11">
        <w:rPr>
          <w:rFonts w:ascii="Arial" w:hAnsi="Arial" w:cs="Arial"/>
          <w:sz w:val="22"/>
          <w:szCs w:val="22"/>
          <w:lang w:val="en-CA"/>
        </w:rPr>
        <w:t>O</w:t>
      </w:r>
      <w:r w:rsidR="00056B6E">
        <w:rPr>
          <w:rFonts w:ascii="Arial" w:hAnsi="Arial" w:cs="Arial"/>
          <w:sz w:val="22"/>
          <w:szCs w:val="22"/>
          <w:lang w:val="en-CA"/>
        </w:rPr>
        <w:t>n TCI state updates for L1/L2 centric inter-cell mobility</w:t>
      </w:r>
    </w:p>
    <w:p w14:paraId="2FCB5745" w14:textId="17CCEB0A"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870E11">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10D5D372" w14:textId="2FBE3990" w:rsidR="00A25C8E" w:rsidRDefault="00A25C8E" w:rsidP="00142C2E">
      <w:pPr>
        <w:rPr>
          <w:sz w:val="22"/>
          <w:lang w:val="en-CA"/>
        </w:rPr>
      </w:pPr>
      <w:r w:rsidRPr="00A25C8E">
        <w:rPr>
          <w:noProof/>
          <w:sz w:val="22"/>
          <w:lang w:val="en-CA"/>
        </w:rPr>
        <mc:AlternateContent>
          <mc:Choice Requires="wps">
            <w:drawing>
              <wp:anchor distT="45720" distB="45720" distL="114300" distR="114300" simplePos="0" relativeHeight="251659264" behindDoc="0" locked="0" layoutInCell="1" allowOverlap="1" wp14:anchorId="17D39399" wp14:editId="650C028A">
                <wp:simplePos x="0" y="0"/>
                <wp:positionH relativeFrom="column">
                  <wp:posOffset>311150</wp:posOffset>
                </wp:positionH>
                <wp:positionV relativeFrom="paragraph">
                  <wp:posOffset>440055</wp:posOffset>
                </wp:positionV>
                <wp:extent cx="5486400" cy="3423285"/>
                <wp:effectExtent l="0" t="0" r="19050" b="247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423285"/>
                        </a:xfrm>
                        <a:prstGeom prst="rect">
                          <a:avLst/>
                        </a:prstGeom>
                        <a:solidFill>
                          <a:srgbClr val="FFFFFF"/>
                        </a:solidFill>
                        <a:ln w="9525">
                          <a:solidFill>
                            <a:srgbClr val="000000"/>
                          </a:solidFill>
                          <a:miter lim="800000"/>
                          <a:headEnd/>
                          <a:tailEnd/>
                        </a:ln>
                      </wps:spPr>
                      <wps:txbx>
                        <w:txbxContent>
                          <w:p w14:paraId="316ADF76" w14:textId="77777777" w:rsidR="00A25C8E" w:rsidRPr="00A25C8E" w:rsidRDefault="00A25C8E" w:rsidP="00A25C8E">
                            <w:pPr>
                              <w:spacing w:after="120"/>
                              <w:rPr>
                                <w:rFonts w:ascii="Arial" w:hAnsi="Arial" w:cs="Arial"/>
                                <w:b/>
                                <w:sz w:val="18"/>
                                <w:szCs w:val="18"/>
                              </w:rPr>
                            </w:pPr>
                            <w:r w:rsidRPr="00A25C8E">
                              <w:rPr>
                                <w:rFonts w:ascii="Arial" w:hAnsi="Arial" w:cs="Arial"/>
                                <w:b/>
                                <w:sz w:val="18"/>
                                <w:szCs w:val="18"/>
                              </w:rPr>
                              <w:t>1. Overall Description:</w:t>
                            </w:r>
                          </w:p>
                          <w:p w14:paraId="2B9C9773" w14:textId="5FF0FCF9" w:rsidR="00A25C8E" w:rsidRPr="00A25C8E" w:rsidRDefault="00A25C8E" w:rsidP="00A25C8E">
                            <w:pPr>
                              <w:snapToGrid w:val="0"/>
                              <w:jc w:val="both"/>
                              <w:rPr>
                                <w:lang w:eastAsia="zh-CN"/>
                              </w:rPr>
                            </w:pPr>
                            <w:r w:rsidRPr="00A25C8E">
                              <w:rPr>
                                <w:lang w:eastAsia="zh-CN"/>
                              </w:rPr>
                              <w:t>[...]</w:t>
                            </w:r>
                          </w:p>
                          <w:p w14:paraId="00D547A4" w14:textId="2EB33247" w:rsidR="00A25C8E" w:rsidRPr="00A25C8E" w:rsidRDefault="00A25C8E" w:rsidP="00A25C8E">
                            <w:pPr>
                              <w:snapToGrid w:val="0"/>
                              <w:spacing w:after="0"/>
                              <w:jc w:val="both"/>
                              <w:rPr>
                                <w:lang w:eastAsia="zh-CN"/>
                              </w:rPr>
                            </w:pPr>
                            <w:r w:rsidRPr="00A25C8E">
                              <w:rPr>
                                <w:b/>
                                <w:bCs/>
                                <w:lang w:eastAsia="zh-CN"/>
                              </w:rPr>
                              <w:t>Question 5</w:t>
                            </w:r>
                            <w:r w:rsidRPr="00A25C8E">
                              <w:rPr>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A25C8E">
                              <w:rPr>
                                <w:szCs w:val="24"/>
                                <w:lang w:eastAsia="zh-CN"/>
                              </w:rPr>
                              <w:t>one common TCI state ID associated with a non-serving cell, if supported, may be optionally applied for CCs in a band.</w:t>
                            </w:r>
                          </w:p>
                          <w:p w14:paraId="112A06E5" w14:textId="77777777" w:rsidR="00A25C8E" w:rsidRPr="00A25C8E" w:rsidRDefault="00A25C8E" w:rsidP="00A25C8E">
                            <w:pPr>
                              <w:pStyle w:val="ListParagraph"/>
                              <w:numPr>
                                <w:ilvl w:val="0"/>
                                <w:numId w:val="29"/>
                              </w:numPr>
                              <w:snapToGrid w:val="0"/>
                              <w:spacing w:after="0"/>
                              <w:jc w:val="both"/>
                              <w:rPr>
                                <w:lang w:eastAsia="zh-CN"/>
                              </w:rPr>
                            </w:pPr>
                            <w:r w:rsidRPr="00A25C8E">
                              <w:rPr>
                                <w:lang w:eastAsia="zh-CN"/>
                              </w:rPr>
                              <w:t xml:space="preserve">Are there specific </w:t>
                            </w:r>
                            <w:r w:rsidRPr="00A25C8E">
                              <w:rPr>
                                <w:lang w:val="en-US" w:eastAsia="zh-CN"/>
                              </w:rPr>
                              <w:t xml:space="preserve">RAN2/4 </w:t>
                            </w:r>
                            <w:r w:rsidRPr="00A25C8E">
                              <w:rPr>
                                <w:lang w:eastAsia="zh-CN"/>
                              </w:rPr>
                              <w:t xml:space="preserve">issues (including </w:t>
                            </w:r>
                            <w:r w:rsidRPr="00A25C8E">
                              <w:rPr>
                                <w:szCs w:val="24"/>
                                <w:lang w:eastAsia="zh-CN"/>
                              </w:rPr>
                              <w:t xml:space="preserve">higher-layer impact) that need to be considered </w:t>
                            </w:r>
                            <w:r w:rsidRPr="00A25C8E">
                              <w:rPr>
                                <w:szCs w:val="24"/>
                                <w:lang w:val="en-US" w:eastAsia="zh-CN"/>
                              </w:rPr>
                              <w:t>for deciding  between the two alternatives</w:t>
                            </w:r>
                            <w:r w:rsidRPr="00A25C8E">
                              <w:rPr>
                                <w:szCs w:val="24"/>
                                <w:lang w:eastAsia="zh-CN"/>
                              </w:rPr>
                              <w:t xml:space="preserve">? </w:t>
                            </w:r>
                          </w:p>
                          <w:p w14:paraId="14572808" w14:textId="77777777" w:rsidR="00A25C8E" w:rsidRPr="00A25C8E" w:rsidRDefault="00A25C8E" w:rsidP="00A25C8E">
                            <w:pPr>
                              <w:snapToGrid w:val="0"/>
                              <w:jc w:val="both"/>
                              <w:rPr>
                                <w:lang w:eastAsia="zh-CN"/>
                              </w:rPr>
                            </w:pPr>
                          </w:p>
                          <w:p w14:paraId="6EA779A8" w14:textId="77777777" w:rsidR="00A25C8E" w:rsidRPr="00A25C8E" w:rsidRDefault="00A25C8E" w:rsidP="00A25C8E">
                            <w:pPr>
                              <w:snapToGrid w:val="0"/>
                              <w:spacing w:after="0"/>
                              <w:jc w:val="both"/>
                              <w:rPr>
                                <w:szCs w:val="24"/>
                                <w:lang w:eastAsia="zh-CN"/>
                              </w:rPr>
                            </w:pPr>
                            <w:r w:rsidRPr="00A25C8E">
                              <w:rPr>
                                <w:b/>
                                <w:bCs/>
                                <w:lang w:eastAsia="zh-CN"/>
                              </w:rPr>
                              <w:t>Question 6</w:t>
                            </w:r>
                            <w:r w:rsidRPr="00A25C8E">
                              <w:rPr>
                                <w:lang w:eastAsia="zh-CN"/>
                              </w:rPr>
                              <w:t xml:space="preserve">: In regard of inter-frequency issues, from RAN2/4 perspective, what would be the </w:t>
                            </w:r>
                            <w:r w:rsidRPr="00A25C8E">
                              <w:rPr>
                                <w:szCs w:val="24"/>
                                <w:lang w:eastAsia="zh-CN"/>
                              </w:rPr>
                              <w:t xml:space="preserve">higher-layer and RRM impact assuming inter-frequency </w:t>
                            </w:r>
                            <w:r w:rsidRPr="00A25C8E">
                              <w:rPr>
                                <w:lang w:eastAsia="zh-CN"/>
                              </w:rPr>
                              <w:t xml:space="preserve">scenarios </w:t>
                            </w:r>
                            <w:r w:rsidRPr="00A25C8E">
                              <w:rPr>
                                <w:szCs w:val="24"/>
                                <w:lang w:eastAsia="zh-CN"/>
                              </w:rPr>
                              <w:t>as opposed to intra-frequency scenarios? For intra-frequency scenario, it is assumed that SSBs of non-serving cells have the same center frequency and SCS as the SSBs of the serving cell.</w:t>
                            </w:r>
                          </w:p>
                          <w:p w14:paraId="29F313D0" w14:textId="77777777" w:rsidR="00A25C8E" w:rsidRPr="00A25C8E" w:rsidRDefault="00A25C8E" w:rsidP="00A25C8E">
                            <w:pPr>
                              <w:pStyle w:val="ListParagraph"/>
                              <w:numPr>
                                <w:ilvl w:val="0"/>
                                <w:numId w:val="28"/>
                              </w:numPr>
                              <w:snapToGrid w:val="0"/>
                              <w:spacing w:after="0"/>
                              <w:jc w:val="both"/>
                              <w:rPr>
                                <w:szCs w:val="24"/>
                                <w:lang w:eastAsia="zh-CN"/>
                              </w:rPr>
                            </w:pPr>
                            <w:r w:rsidRPr="00A25C8E">
                              <w:rPr>
                                <w:szCs w:val="24"/>
                                <w:lang w:val="en-US" w:eastAsia="zh-CN"/>
                              </w:rPr>
                              <w:t xml:space="preserve">Note: </w:t>
                            </w:r>
                            <w:r w:rsidRPr="00A25C8E">
                              <w:t xml:space="preserve">RAN1 has agreed to support intra-frequency scenarios, whereas </w:t>
                            </w:r>
                            <w:r w:rsidRPr="00A25C8E">
                              <w:rPr>
                                <w:lang w:val="en-US"/>
                              </w:rPr>
                              <w:t xml:space="preserve">the support for </w:t>
                            </w:r>
                            <w:r w:rsidRPr="00A25C8E">
                              <w:t xml:space="preserve">inter-frequency scenarios </w:t>
                            </w:r>
                            <w:r w:rsidRPr="00A25C8E">
                              <w:rPr>
                                <w:lang w:val="en-US"/>
                              </w:rPr>
                              <w:t>is still for further study.</w:t>
                            </w:r>
                          </w:p>
                          <w:p w14:paraId="1BA7B050" w14:textId="2D6D73EF" w:rsidR="00A25C8E" w:rsidRPr="00A25C8E" w:rsidRDefault="00A25C8E">
                            <w:pPr>
                              <w:rPr>
                                <w:sz w:val="18"/>
                                <w:szCs w:val="18"/>
                              </w:rPr>
                            </w:pPr>
                          </w:p>
                          <w:p w14:paraId="7A0EC220" w14:textId="52CBC267" w:rsidR="00A25C8E" w:rsidRPr="00A25C8E" w:rsidRDefault="00A25C8E" w:rsidP="00A25C8E">
                            <w:pPr>
                              <w:spacing w:after="120"/>
                              <w:ind w:left="993" w:hanging="993"/>
                              <w:jc w:val="both"/>
                              <w:rPr>
                                <w:rFonts w:ascii="Arial" w:hAnsi="Arial" w:cs="Arial"/>
                                <w:iCs/>
                                <w:sz w:val="18"/>
                                <w:szCs w:val="18"/>
                                <w:lang w:eastAsia="ko-KR"/>
                              </w:rPr>
                            </w:pPr>
                            <w:r w:rsidRPr="00A25C8E">
                              <w:rPr>
                                <w:rFonts w:ascii="Arial" w:hAnsi="Arial" w:cs="Arial"/>
                                <w:b/>
                                <w:sz w:val="18"/>
                                <w:szCs w:val="18"/>
                              </w:rPr>
                              <w:t xml:space="preserve">ACTION: </w:t>
                            </w:r>
                            <w:r w:rsidRPr="00A25C8E">
                              <w:rPr>
                                <w:rFonts w:ascii="Arial" w:hAnsi="Arial" w:cs="Arial"/>
                                <w:b/>
                                <w:sz w:val="18"/>
                                <w:szCs w:val="18"/>
                              </w:rPr>
                              <w:tab/>
                            </w:r>
                            <w:r w:rsidRPr="00A25C8E">
                              <w:rPr>
                                <w:iCs/>
                                <w:lang w:eastAsia="ko-KR"/>
                              </w:rPr>
                              <w:t>[...]</w:t>
                            </w:r>
                            <w:r w:rsidRPr="00A25C8E">
                              <w:t xml:space="preserve"> It is also noted that questions 5 and 6 (</w:t>
                            </w:r>
                            <w:r w:rsidRPr="00A25C8E">
                              <w:rPr>
                                <w:iCs/>
                              </w:rPr>
                              <w:t>related to frequency band and CA</w:t>
                            </w:r>
                            <w:r w:rsidRPr="00A25C8E">
                              <w:t>) can also benefit from additional answers from RAN4.</w:t>
                            </w:r>
                            <w:r w:rsidRPr="00A25C8E">
                              <w:rPr>
                                <w:iCs/>
                                <w:lang w:eastAsia="ko-KR"/>
                              </w:rPr>
                              <w:t xml:space="preserve"> </w:t>
                            </w:r>
                          </w:p>
                          <w:p w14:paraId="5B056C0B" w14:textId="77777777" w:rsidR="00A25C8E" w:rsidRPr="00A25C8E" w:rsidRDefault="00A25C8E">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D39399" id="_x0000_t202" coordsize="21600,21600" o:spt="202" path="m,l,21600r21600,l21600,xe">
                <v:stroke joinstyle="miter"/>
                <v:path gradientshapeok="t" o:connecttype="rect"/>
              </v:shapetype>
              <v:shape id="Text Box 2" o:spid="_x0000_s1026" type="#_x0000_t202" style="position:absolute;margin-left:24.5pt;margin-top:34.65pt;width:6in;height:269.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">
                <v:textbox>
                  <w:txbxContent>
                    <w:p w14:paraId="316ADF76" w14:textId="77777777" w:rsidR="00A25C8E" w:rsidRPr="00A25C8E" w:rsidRDefault="00A25C8E" w:rsidP="00A25C8E">
                      <w:pPr>
                        <w:spacing w:after="120"/>
                        <w:rPr>
                          <w:rFonts w:ascii="Arial" w:hAnsi="Arial" w:cs="Arial"/>
                          <w:b/>
                          <w:sz w:val="18"/>
                          <w:szCs w:val="18"/>
                        </w:rPr>
                      </w:pPr>
                      <w:r w:rsidRPr="00A25C8E">
                        <w:rPr>
                          <w:rFonts w:ascii="Arial" w:hAnsi="Arial" w:cs="Arial"/>
                          <w:b/>
                          <w:sz w:val="18"/>
                          <w:szCs w:val="18"/>
                        </w:rPr>
                        <w:t>1. Overall Description:</w:t>
                      </w:r>
                    </w:p>
                    <w:p w14:paraId="2B9C9773" w14:textId="5FF0FCF9" w:rsidR="00A25C8E" w:rsidRPr="00A25C8E" w:rsidRDefault="00A25C8E" w:rsidP="00A25C8E">
                      <w:pPr>
                        <w:snapToGrid w:val="0"/>
                        <w:jc w:val="both"/>
                        <w:rPr>
                          <w:lang w:eastAsia="zh-CN"/>
                        </w:rPr>
                      </w:pPr>
                      <w:r w:rsidRPr="00A25C8E">
                        <w:rPr>
                          <w:lang w:eastAsia="zh-CN"/>
                        </w:rPr>
                        <w:t>[...]</w:t>
                      </w:r>
                    </w:p>
                    <w:p w14:paraId="00D547A4" w14:textId="2EB33247" w:rsidR="00A25C8E" w:rsidRPr="00A25C8E" w:rsidRDefault="00A25C8E" w:rsidP="00A25C8E">
                      <w:pPr>
                        <w:snapToGrid w:val="0"/>
                        <w:spacing w:after="0"/>
                        <w:jc w:val="both"/>
                        <w:rPr>
                          <w:lang w:eastAsia="zh-CN"/>
                        </w:rPr>
                      </w:pPr>
                      <w:r w:rsidRPr="00A25C8E">
                        <w:rPr>
                          <w:b/>
                          <w:bCs/>
                          <w:lang w:eastAsia="zh-CN"/>
                        </w:rPr>
                        <w:t>Question 5</w:t>
                      </w:r>
                      <w:r w:rsidRPr="00A25C8E">
                        <w:rPr>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A25C8E">
                        <w:rPr>
                          <w:szCs w:val="24"/>
                          <w:lang w:eastAsia="zh-CN"/>
                        </w:rPr>
                        <w:t>one common TCI state ID associated with a non-serving cell, if supported, may be optionally applied for CCs in a band.</w:t>
                      </w:r>
                    </w:p>
                    <w:p w14:paraId="112A06E5" w14:textId="77777777" w:rsidR="00A25C8E" w:rsidRPr="00A25C8E" w:rsidRDefault="00A25C8E" w:rsidP="00A25C8E">
                      <w:pPr>
                        <w:pStyle w:val="ListParagraph"/>
                        <w:numPr>
                          <w:ilvl w:val="0"/>
                          <w:numId w:val="29"/>
                        </w:numPr>
                        <w:snapToGrid w:val="0"/>
                        <w:spacing w:after="0"/>
                        <w:jc w:val="both"/>
                        <w:rPr>
                          <w:lang w:eastAsia="zh-CN"/>
                        </w:rPr>
                      </w:pPr>
                      <w:r w:rsidRPr="00A25C8E">
                        <w:rPr>
                          <w:lang w:eastAsia="zh-CN"/>
                        </w:rPr>
                        <w:t xml:space="preserve">Are there specific </w:t>
                      </w:r>
                      <w:r w:rsidRPr="00A25C8E">
                        <w:rPr>
                          <w:lang w:val="en-US" w:eastAsia="zh-CN"/>
                        </w:rPr>
                        <w:t xml:space="preserve">RAN2/4 </w:t>
                      </w:r>
                      <w:r w:rsidRPr="00A25C8E">
                        <w:rPr>
                          <w:lang w:eastAsia="zh-CN"/>
                        </w:rPr>
                        <w:t xml:space="preserve">issues (including </w:t>
                      </w:r>
                      <w:r w:rsidRPr="00A25C8E">
                        <w:rPr>
                          <w:szCs w:val="24"/>
                          <w:lang w:eastAsia="zh-CN"/>
                        </w:rPr>
                        <w:t xml:space="preserve">higher-layer impact) that need to be considered </w:t>
                      </w:r>
                      <w:r w:rsidRPr="00A25C8E">
                        <w:rPr>
                          <w:szCs w:val="24"/>
                          <w:lang w:val="en-US" w:eastAsia="zh-CN"/>
                        </w:rPr>
                        <w:t>for deciding  between the two alternatives</w:t>
                      </w:r>
                      <w:r w:rsidRPr="00A25C8E">
                        <w:rPr>
                          <w:szCs w:val="24"/>
                          <w:lang w:eastAsia="zh-CN"/>
                        </w:rPr>
                        <w:t xml:space="preserve">? </w:t>
                      </w:r>
                    </w:p>
                    <w:p w14:paraId="14572808" w14:textId="77777777" w:rsidR="00A25C8E" w:rsidRPr="00A25C8E" w:rsidRDefault="00A25C8E" w:rsidP="00A25C8E">
                      <w:pPr>
                        <w:snapToGrid w:val="0"/>
                        <w:jc w:val="both"/>
                        <w:rPr>
                          <w:lang w:eastAsia="zh-CN"/>
                        </w:rPr>
                      </w:pPr>
                    </w:p>
                    <w:p w14:paraId="6EA779A8" w14:textId="77777777" w:rsidR="00A25C8E" w:rsidRPr="00A25C8E" w:rsidRDefault="00A25C8E" w:rsidP="00A25C8E">
                      <w:pPr>
                        <w:snapToGrid w:val="0"/>
                        <w:spacing w:after="0"/>
                        <w:jc w:val="both"/>
                        <w:rPr>
                          <w:szCs w:val="24"/>
                          <w:lang w:eastAsia="zh-CN"/>
                        </w:rPr>
                      </w:pPr>
                      <w:r w:rsidRPr="00A25C8E">
                        <w:rPr>
                          <w:b/>
                          <w:bCs/>
                          <w:lang w:eastAsia="zh-CN"/>
                        </w:rPr>
                        <w:t>Question 6</w:t>
                      </w:r>
                      <w:r w:rsidRPr="00A25C8E">
                        <w:rPr>
                          <w:lang w:eastAsia="zh-CN"/>
                        </w:rPr>
                        <w:t xml:space="preserve">: In regard of inter-frequency issues, from RAN2/4 perspective, what would be the </w:t>
                      </w:r>
                      <w:r w:rsidRPr="00A25C8E">
                        <w:rPr>
                          <w:szCs w:val="24"/>
                          <w:lang w:eastAsia="zh-CN"/>
                        </w:rPr>
                        <w:t xml:space="preserve">higher-layer and RRM impact assuming inter-frequency </w:t>
                      </w:r>
                      <w:r w:rsidRPr="00A25C8E">
                        <w:rPr>
                          <w:lang w:eastAsia="zh-CN"/>
                        </w:rPr>
                        <w:t xml:space="preserve">scenarios </w:t>
                      </w:r>
                      <w:r w:rsidRPr="00A25C8E">
                        <w:rPr>
                          <w:szCs w:val="24"/>
                          <w:lang w:eastAsia="zh-CN"/>
                        </w:rPr>
                        <w:t>as opposed to intra-frequency scenarios? For intra-frequency scenario, it is assumed that SSBs of non-serving cells have the same center frequency and SCS as the SSBs of the serving cell.</w:t>
                      </w:r>
                    </w:p>
                    <w:p w14:paraId="29F313D0" w14:textId="77777777" w:rsidR="00A25C8E" w:rsidRPr="00A25C8E" w:rsidRDefault="00A25C8E" w:rsidP="00A25C8E">
                      <w:pPr>
                        <w:pStyle w:val="ListParagraph"/>
                        <w:numPr>
                          <w:ilvl w:val="0"/>
                          <w:numId w:val="28"/>
                        </w:numPr>
                        <w:snapToGrid w:val="0"/>
                        <w:spacing w:after="0"/>
                        <w:jc w:val="both"/>
                        <w:rPr>
                          <w:szCs w:val="24"/>
                          <w:lang w:eastAsia="zh-CN"/>
                        </w:rPr>
                      </w:pPr>
                      <w:r w:rsidRPr="00A25C8E">
                        <w:rPr>
                          <w:szCs w:val="24"/>
                          <w:lang w:val="en-US" w:eastAsia="zh-CN"/>
                        </w:rPr>
                        <w:t xml:space="preserve">Note: </w:t>
                      </w:r>
                      <w:r w:rsidRPr="00A25C8E">
                        <w:t xml:space="preserve">RAN1 has agreed to support intra-frequency scenarios, whereas </w:t>
                      </w:r>
                      <w:r w:rsidRPr="00A25C8E">
                        <w:rPr>
                          <w:lang w:val="en-US"/>
                        </w:rPr>
                        <w:t xml:space="preserve">the support for </w:t>
                      </w:r>
                      <w:r w:rsidRPr="00A25C8E">
                        <w:t xml:space="preserve">inter-frequency scenarios </w:t>
                      </w:r>
                      <w:r w:rsidRPr="00A25C8E">
                        <w:rPr>
                          <w:lang w:val="en-US"/>
                        </w:rPr>
                        <w:t>is still for further study.</w:t>
                      </w:r>
                    </w:p>
                    <w:p w14:paraId="1BA7B050" w14:textId="2D6D73EF" w:rsidR="00A25C8E" w:rsidRPr="00A25C8E" w:rsidRDefault="00A25C8E">
                      <w:pPr>
                        <w:rPr>
                          <w:sz w:val="18"/>
                          <w:szCs w:val="18"/>
                        </w:rPr>
                      </w:pPr>
                    </w:p>
                    <w:p w14:paraId="7A0EC220" w14:textId="52CBC267" w:rsidR="00A25C8E" w:rsidRPr="00A25C8E" w:rsidRDefault="00A25C8E" w:rsidP="00A25C8E">
                      <w:pPr>
                        <w:spacing w:after="120"/>
                        <w:ind w:left="993" w:hanging="993"/>
                        <w:jc w:val="both"/>
                        <w:rPr>
                          <w:rFonts w:ascii="Arial" w:hAnsi="Arial" w:cs="Arial"/>
                          <w:iCs/>
                          <w:sz w:val="18"/>
                          <w:szCs w:val="18"/>
                          <w:lang w:eastAsia="ko-KR"/>
                        </w:rPr>
                      </w:pPr>
                      <w:r w:rsidRPr="00A25C8E">
                        <w:rPr>
                          <w:rFonts w:ascii="Arial" w:hAnsi="Arial" w:cs="Arial"/>
                          <w:b/>
                          <w:sz w:val="18"/>
                          <w:szCs w:val="18"/>
                        </w:rPr>
                        <w:t xml:space="preserve">ACTION: </w:t>
                      </w:r>
                      <w:r w:rsidRPr="00A25C8E">
                        <w:rPr>
                          <w:rFonts w:ascii="Arial" w:hAnsi="Arial" w:cs="Arial"/>
                          <w:b/>
                          <w:sz w:val="18"/>
                          <w:szCs w:val="18"/>
                        </w:rPr>
                        <w:tab/>
                      </w:r>
                      <w:r w:rsidRPr="00A25C8E">
                        <w:rPr>
                          <w:iCs/>
                          <w:lang w:eastAsia="ko-KR"/>
                        </w:rPr>
                        <w:t>[...]</w:t>
                      </w:r>
                      <w:r w:rsidRPr="00A25C8E">
                        <w:t xml:space="preserve"> It is also noted that questions 5 and 6 (</w:t>
                      </w:r>
                      <w:r w:rsidRPr="00A25C8E">
                        <w:rPr>
                          <w:iCs/>
                        </w:rPr>
                        <w:t>related to frequency band and CA</w:t>
                      </w:r>
                      <w:r w:rsidRPr="00A25C8E">
                        <w:t>) can also benefit from additional answers from RAN4.</w:t>
                      </w:r>
                      <w:r w:rsidRPr="00A25C8E">
                        <w:rPr>
                          <w:iCs/>
                          <w:lang w:eastAsia="ko-KR"/>
                        </w:rPr>
                        <w:t xml:space="preserve"> </w:t>
                      </w:r>
                    </w:p>
                    <w:p w14:paraId="5B056C0B" w14:textId="77777777" w:rsidR="00A25C8E" w:rsidRPr="00A25C8E" w:rsidRDefault="00A25C8E">
                      <w:pPr>
                        <w:rPr>
                          <w:sz w:val="18"/>
                          <w:szCs w:val="18"/>
                        </w:rPr>
                      </w:pPr>
                    </w:p>
                  </w:txbxContent>
                </v:textbox>
                <w10:wrap type="topAndBottom"/>
              </v:shape>
            </w:pict>
          </mc:Fallback>
        </mc:AlternateContent>
      </w:r>
      <w:r w:rsidR="002F0134">
        <w:rPr>
          <w:sz w:val="22"/>
          <w:lang w:val="en-CA"/>
        </w:rPr>
        <w:t xml:space="preserve">Before RAN4#98bis-e </w:t>
      </w:r>
      <w:r w:rsidR="00E42F63">
        <w:rPr>
          <w:sz w:val="22"/>
          <w:lang w:val="en-CA"/>
        </w:rPr>
        <w:t xml:space="preserve">an LS from </w:t>
      </w:r>
      <w:r>
        <w:rPr>
          <w:sz w:val="22"/>
          <w:lang w:val="en-CA"/>
        </w:rPr>
        <w:t>RAN1 on TCI state update</w:t>
      </w:r>
      <w:r w:rsidR="000452D5">
        <w:rPr>
          <w:sz w:val="22"/>
          <w:lang w:val="en-CA"/>
        </w:rPr>
        <w:t>s</w:t>
      </w:r>
      <w:r>
        <w:rPr>
          <w:sz w:val="22"/>
          <w:lang w:val="en-CA"/>
        </w:rPr>
        <w:t xml:space="preserve"> for L1/L2 centric inter-cell mobility </w:t>
      </w:r>
      <w:r>
        <w:rPr>
          <w:sz w:val="22"/>
          <w:lang w:val="en-CA"/>
        </w:rPr>
        <w:fldChar w:fldCharType="begin"/>
      </w:r>
      <w:r>
        <w:rPr>
          <w:sz w:val="22"/>
          <w:lang w:val="en-CA"/>
        </w:rPr>
        <w:instrText xml:space="preserve"> REF _Ref67050273 \r \h </w:instrText>
      </w:r>
      <w:r>
        <w:rPr>
          <w:sz w:val="22"/>
          <w:lang w:val="en-CA"/>
        </w:rPr>
      </w:r>
      <w:r>
        <w:rPr>
          <w:sz w:val="22"/>
          <w:lang w:val="en-CA"/>
        </w:rPr>
        <w:fldChar w:fldCharType="separate"/>
      </w:r>
      <w:r>
        <w:rPr>
          <w:sz w:val="22"/>
          <w:lang w:val="en-CA"/>
        </w:rPr>
        <w:t>[1]</w:t>
      </w:r>
      <w:r>
        <w:rPr>
          <w:sz w:val="22"/>
          <w:lang w:val="en-CA"/>
        </w:rPr>
        <w:fldChar w:fldCharType="end"/>
      </w:r>
      <w:r w:rsidR="002F0134">
        <w:rPr>
          <w:sz w:val="22"/>
          <w:lang w:val="en-CA"/>
        </w:rPr>
        <w:t xml:space="preserve"> was received</w:t>
      </w:r>
      <w:r>
        <w:rPr>
          <w:sz w:val="22"/>
          <w:lang w:val="en-CA"/>
        </w:rPr>
        <w:t xml:space="preserve">. In the LS, there are two questions </w:t>
      </w:r>
      <w:r w:rsidR="00D140F9">
        <w:rPr>
          <w:sz w:val="22"/>
          <w:lang w:val="en-CA"/>
        </w:rPr>
        <w:t xml:space="preserve">directed </w:t>
      </w:r>
      <w:r>
        <w:rPr>
          <w:sz w:val="22"/>
          <w:lang w:val="en-CA"/>
        </w:rPr>
        <w:t>to RAN4:</w:t>
      </w:r>
    </w:p>
    <w:p w14:paraId="6836E314" w14:textId="4015C804" w:rsidR="002F0134" w:rsidRDefault="00667778" w:rsidP="00142C2E">
      <w:pPr>
        <w:rPr>
          <w:sz w:val="22"/>
          <w:lang w:val="en-CA"/>
        </w:rPr>
      </w:pPr>
      <w:r>
        <w:rPr>
          <w:sz w:val="22"/>
          <w:lang w:val="en-CA"/>
        </w:rPr>
        <w:t>How to reply</w:t>
      </w:r>
      <w:r w:rsidR="002F0134">
        <w:rPr>
          <w:sz w:val="22"/>
          <w:lang w:val="en-CA"/>
        </w:rPr>
        <w:t xml:space="preserve"> the LS was discussed during RAN4#98bis-e, without reaching consensus. </w:t>
      </w:r>
      <w:r>
        <w:rPr>
          <w:sz w:val="22"/>
          <w:lang w:val="en-CA"/>
        </w:rPr>
        <w:t xml:space="preserve">The outcome of the discussions was captured in a WF </w:t>
      </w:r>
      <w:r>
        <w:rPr>
          <w:sz w:val="22"/>
          <w:lang w:val="en-CA"/>
        </w:rPr>
        <w:fldChar w:fldCharType="begin"/>
      </w:r>
      <w:r>
        <w:rPr>
          <w:sz w:val="22"/>
          <w:lang w:val="en-CA"/>
        </w:rPr>
        <w:instrText xml:space="preserve"> REF _Ref71546022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w:t>
      </w:r>
    </w:p>
    <w:p w14:paraId="71D5C73B" w14:textId="7877E0E3" w:rsidR="005E6DDB" w:rsidRPr="00D812A2" w:rsidRDefault="00A25C8E" w:rsidP="00142C2E">
      <w:pPr>
        <w:rPr>
          <w:sz w:val="22"/>
          <w:lang w:val="en-CA"/>
        </w:rPr>
      </w:pPr>
      <w:r>
        <w:rPr>
          <w:sz w:val="22"/>
          <w:lang w:val="en-CA"/>
        </w:rPr>
        <w:t xml:space="preserve">In this contribution we are </w:t>
      </w:r>
      <w:r w:rsidR="008E4005">
        <w:rPr>
          <w:sz w:val="22"/>
          <w:lang w:val="en-CA"/>
        </w:rPr>
        <w:t>providing our view pertaining to t</w:t>
      </w:r>
      <w:r w:rsidR="00667778">
        <w:rPr>
          <w:sz w:val="22"/>
          <w:lang w:val="en-CA"/>
        </w:rPr>
        <w:t>he two questions raised in the LS</w:t>
      </w:r>
      <w:r w:rsidR="00886F56">
        <w:rPr>
          <w:sz w:val="22"/>
          <w:lang w:val="en-CA"/>
        </w:rPr>
        <w:t>.</w:t>
      </w:r>
    </w:p>
    <w:p w14:paraId="6CE97566" w14:textId="6560FD21" w:rsidR="004E2B9B" w:rsidRDefault="00515947" w:rsidP="004E2B9B">
      <w:pPr>
        <w:pStyle w:val="Heading1"/>
        <w:ind w:left="431" w:hanging="431"/>
        <w:rPr>
          <w:szCs w:val="36"/>
          <w:lang w:val="en-CA"/>
        </w:rPr>
      </w:pPr>
      <w:r>
        <w:rPr>
          <w:szCs w:val="36"/>
          <w:lang w:val="en-CA"/>
        </w:rPr>
        <w:t>Discussion</w:t>
      </w:r>
    </w:p>
    <w:p w14:paraId="54DBCA8E" w14:textId="6A7287A1" w:rsidR="00E01ECD" w:rsidRPr="00886F56" w:rsidRDefault="00886F56" w:rsidP="00E01ECD">
      <w:pPr>
        <w:rPr>
          <w:sz w:val="22"/>
          <w:szCs w:val="22"/>
          <w:lang w:val="en-CA"/>
        </w:rPr>
      </w:pPr>
      <w:r>
        <w:rPr>
          <w:sz w:val="22"/>
          <w:szCs w:val="22"/>
          <w:lang w:val="en-CA"/>
        </w:rPr>
        <w:t>The LS contains the following two questions to RAN4, which are addressed below:</w:t>
      </w:r>
    </w:p>
    <w:p w14:paraId="768248B2" w14:textId="64279A5A" w:rsidR="00FE4A1F" w:rsidRDefault="0071688C" w:rsidP="0027176C">
      <w:pPr>
        <w:spacing w:after="0"/>
        <w:rPr>
          <w:sz w:val="22"/>
          <w:szCs w:val="22"/>
          <w:lang w:val="en-US"/>
        </w:rPr>
      </w:pPr>
      <w:bookmarkStart w:id="4" w:name="_Toc5952573"/>
      <w:r w:rsidRPr="00D95AD9">
        <w:rPr>
          <w:color w:val="365F91" w:themeColor="accent1" w:themeShade="BF"/>
          <w:sz w:val="22"/>
          <w:szCs w:val="22"/>
          <w:lang w:val="en-US"/>
        </w:rPr>
        <w:t xml:space="preserve">First question </w:t>
      </w:r>
      <w:r>
        <w:rPr>
          <w:sz w:val="22"/>
          <w:szCs w:val="22"/>
          <w:lang w:val="en-US"/>
        </w:rPr>
        <w:t>(Q</w:t>
      </w:r>
      <w:r w:rsidR="006D5640">
        <w:rPr>
          <w:sz w:val="22"/>
          <w:szCs w:val="22"/>
          <w:lang w:val="en-US"/>
        </w:rPr>
        <w:t xml:space="preserve">uestion </w:t>
      </w:r>
      <w:r>
        <w:rPr>
          <w:sz w:val="22"/>
          <w:szCs w:val="22"/>
          <w:lang w:val="en-US"/>
        </w:rPr>
        <w:t>5) to RAN4 concerns whether there from RAN4 perspective are added complications if supporting inter-band CA scenarios in addition to intra-band CA scenarios. For this question, we assume that measurements are intra-frequency measurements, i.e. carried out on the component carriers.</w:t>
      </w:r>
    </w:p>
    <w:p w14:paraId="113499B5" w14:textId="29F9793D" w:rsidR="0071688C" w:rsidRDefault="0071688C" w:rsidP="0027176C">
      <w:pPr>
        <w:spacing w:after="0"/>
        <w:rPr>
          <w:sz w:val="22"/>
          <w:szCs w:val="22"/>
          <w:lang w:val="en-US"/>
        </w:rPr>
      </w:pPr>
    </w:p>
    <w:p w14:paraId="62ACF3BF" w14:textId="2CDE5C36" w:rsidR="0071688C" w:rsidRDefault="0071688C" w:rsidP="0027176C">
      <w:pPr>
        <w:spacing w:after="0"/>
        <w:rPr>
          <w:sz w:val="22"/>
          <w:szCs w:val="22"/>
          <w:lang w:val="en-US"/>
        </w:rPr>
      </w:pPr>
      <w:r w:rsidRPr="00D95AD9">
        <w:rPr>
          <w:color w:val="365F91" w:themeColor="accent1" w:themeShade="BF"/>
          <w:sz w:val="22"/>
          <w:szCs w:val="22"/>
          <w:lang w:val="en-US"/>
        </w:rPr>
        <w:t xml:space="preserve">Second question </w:t>
      </w:r>
      <w:r>
        <w:rPr>
          <w:sz w:val="22"/>
          <w:szCs w:val="22"/>
          <w:lang w:val="en-US"/>
        </w:rPr>
        <w:t>(Q</w:t>
      </w:r>
      <w:r w:rsidR="006D5640">
        <w:rPr>
          <w:sz w:val="22"/>
          <w:szCs w:val="22"/>
          <w:lang w:val="en-US"/>
        </w:rPr>
        <w:t xml:space="preserve">uestion </w:t>
      </w:r>
      <w:r>
        <w:rPr>
          <w:sz w:val="22"/>
          <w:szCs w:val="22"/>
          <w:lang w:val="en-US"/>
        </w:rPr>
        <w:t>6) to RAN4 concerns the impact from RAN4 point of view by supporting inter-frequency scenarios in addition to intra-frequency scenarios.</w:t>
      </w:r>
    </w:p>
    <w:p w14:paraId="6984513E" w14:textId="142D9842" w:rsidR="00D95AD9" w:rsidRDefault="00D95AD9" w:rsidP="0027176C">
      <w:pPr>
        <w:spacing w:after="0"/>
        <w:rPr>
          <w:sz w:val="22"/>
          <w:szCs w:val="22"/>
          <w:lang w:val="en-US"/>
        </w:rPr>
      </w:pPr>
    </w:p>
    <w:p w14:paraId="3436E28F" w14:textId="411625E2" w:rsidR="00D95AD9" w:rsidRPr="00D95AD9" w:rsidRDefault="00D95AD9" w:rsidP="0027176C">
      <w:pPr>
        <w:spacing w:after="0"/>
        <w:rPr>
          <w:i/>
          <w:iCs/>
          <w:sz w:val="22"/>
          <w:szCs w:val="22"/>
          <w:lang w:val="en-US"/>
        </w:rPr>
      </w:pPr>
      <w:r>
        <w:rPr>
          <w:i/>
          <w:iCs/>
          <w:sz w:val="22"/>
          <w:szCs w:val="22"/>
          <w:lang w:val="en-US"/>
        </w:rPr>
        <w:t>First question</w:t>
      </w:r>
    </w:p>
    <w:p w14:paraId="38412DE6" w14:textId="378AA047" w:rsidR="0071688C" w:rsidRDefault="0071688C" w:rsidP="0027176C">
      <w:pPr>
        <w:spacing w:after="0"/>
        <w:rPr>
          <w:sz w:val="22"/>
          <w:szCs w:val="22"/>
          <w:lang w:val="en-US"/>
        </w:rPr>
      </w:pPr>
    </w:p>
    <w:p w14:paraId="693AB291" w14:textId="43D98362" w:rsidR="006D5640" w:rsidRPr="006D5640" w:rsidRDefault="006D5640" w:rsidP="006D5640">
      <w:pPr>
        <w:spacing w:after="0"/>
        <w:rPr>
          <w:sz w:val="22"/>
          <w:szCs w:val="22"/>
          <w:lang w:val="en-US"/>
        </w:rPr>
      </w:pPr>
      <w:r>
        <w:rPr>
          <w:sz w:val="22"/>
          <w:szCs w:val="22"/>
          <w:lang w:val="en-US"/>
        </w:rPr>
        <w:t xml:space="preserve">Measured quantities and reporting has been discussed in RAN1 and communicated in a companion LS </w:t>
      </w:r>
      <w:r>
        <w:rPr>
          <w:sz w:val="22"/>
          <w:szCs w:val="22"/>
          <w:lang w:val="en-US"/>
        </w:rPr>
        <w:fldChar w:fldCharType="begin"/>
      </w:r>
      <w:r>
        <w:rPr>
          <w:sz w:val="22"/>
          <w:szCs w:val="22"/>
          <w:lang w:val="en-US"/>
        </w:rPr>
        <w:instrText xml:space="preserve"> REF _Ref67496935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w:t>
      </w:r>
    </w:p>
    <w:p w14:paraId="7E067C17" w14:textId="77777777" w:rsidR="006D5640" w:rsidRDefault="006D5640" w:rsidP="006D5640">
      <w:pPr>
        <w:snapToGrid w:val="0"/>
        <w:spacing w:before="240" w:after="0"/>
        <w:ind w:left="568" w:right="567"/>
        <w:rPr>
          <w:sz w:val="18"/>
          <w:szCs w:val="18"/>
        </w:rPr>
      </w:pPr>
      <w:r>
        <w:rPr>
          <w:sz w:val="18"/>
          <w:szCs w:val="18"/>
        </w:rPr>
        <w:lastRenderedPageBreak/>
        <w:t>[...]</w:t>
      </w:r>
    </w:p>
    <w:p w14:paraId="52CB4DC1" w14:textId="4EFA93D7" w:rsidR="006D5640" w:rsidRPr="006D5640" w:rsidRDefault="006D5640" w:rsidP="006D5640">
      <w:pPr>
        <w:snapToGrid w:val="0"/>
        <w:ind w:left="568" w:right="567"/>
        <w:rPr>
          <w:rFonts w:eastAsia="Batang"/>
          <w:sz w:val="18"/>
          <w:szCs w:val="18"/>
        </w:rPr>
      </w:pPr>
      <w:r w:rsidRPr="006D5640">
        <w:rPr>
          <w:sz w:val="18"/>
          <w:szCs w:val="18"/>
        </w:rPr>
        <w:t xml:space="preserve">On Rel.17 multi beam measurement/reporting enhancements </w:t>
      </w:r>
      <w:r w:rsidRPr="006D5640">
        <w:rPr>
          <w:color w:val="000000"/>
          <w:sz w:val="18"/>
          <w:szCs w:val="18"/>
        </w:rPr>
        <w:t>for L1/L2-centric inter-cell mobility and inter-cell mTRP</w:t>
      </w:r>
      <w:r w:rsidRPr="006D5640">
        <w:rPr>
          <w:rFonts w:eastAsia="Batang"/>
          <w:sz w:val="18"/>
          <w:szCs w:val="18"/>
        </w:rPr>
        <w:t>:</w:t>
      </w:r>
    </w:p>
    <w:p w14:paraId="5C72B7AF" w14:textId="77777777" w:rsidR="006D5640" w:rsidRPr="006D5640" w:rsidRDefault="006D5640" w:rsidP="006D5640">
      <w:pPr>
        <w:pStyle w:val="ListParagraph"/>
        <w:numPr>
          <w:ilvl w:val="0"/>
          <w:numId w:val="37"/>
        </w:numPr>
        <w:snapToGrid w:val="0"/>
        <w:spacing w:after="0"/>
        <w:ind w:left="1288" w:right="567"/>
        <w:contextualSpacing w:val="0"/>
        <w:rPr>
          <w:sz w:val="18"/>
          <w:szCs w:val="18"/>
          <w:highlight w:val="cyan"/>
        </w:rPr>
      </w:pPr>
      <w:r w:rsidRPr="006D5640">
        <w:rPr>
          <w:sz w:val="18"/>
          <w:szCs w:val="18"/>
          <w:highlight w:val="cyan"/>
        </w:rPr>
        <w:t>Rel.15 L1-RSRP is used as reporting quantity for measurement and reporting of non-serving-cell(s)</w:t>
      </w:r>
    </w:p>
    <w:p w14:paraId="37FD94DC" w14:textId="77777777" w:rsidR="006D5640" w:rsidRPr="006D5640" w:rsidRDefault="006D5640" w:rsidP="006D5640">
      <w:pPr>
        <w:pStyle w:val="ListParagraph"/>
        <w:numPr>
          <w:ilvl w:val="1"/>
          <w:numId w:val="37"/>
        </w:numPr>
        <w:snapToGrid w:val="0"/>
        <w:spacing w:after="0"/>
        <w:ind w:left="2008" w:right="567"/>
        <w:contextualSpacing w:val="0"/>
        <w:rPr>
          <w:sz w:val="18"/>
          <w:szCs w:val="18"/>
          <w:highlight w:val="cyan"/>
        </w:rPr>
      </w:pPr>
      <w:r w:rsidRPr="006D5640">
        <w:rPr>
          <w:sz w:val="18"/>
          <w:szCs w:val="18"/>
          <w:highlight w:val="cyan"/>
        </w:rPr>
        <w:t xml:space="preserve">Support SSB as a measurement RS for </w:t>
      </w:r>
      <w:r w:rsidRPr="006D5640">
        <w:rPr>
          <w:color w:val="000000"/>
          <w:sz w:val="18"/>
          <w:szCs w:val="18"/>
          <w:highlight w:val="cyan"/>
        </w:rPr>
        <w:t xml:space="preserve">L1/L2-centric inter-cell mobility </w:t>
      </w:r>
      <w:r w:rsidRPr="006D5640">
        <w:rPr>
          <w:sz w:val="18"/>
          <w:szCs w:val="18"/>
          <w:highlight w:val="cyan"/>
        </w:rPr>
        <w:t>and inter-cell mTRP, and Rel.15 SS-RSRP calculated from SSB of non-serving cell(s)</w:t>
      </w:r>
    </w:p>
    <w:p w14:paraId="16447F0F" w14:textId="77777777" w:rsidR="006D5640" w:rsidRPr="006D5640" w:rsidRDefault="006D5640" w:rsidP="006D5640">
      <w:pPr>
        <w:pStyle w:val="ListParagraph"/>
        <w:numPr>
          <w:ilvl w:val="2"/>
          <w:numId w:val="37"/>
        </w:numPr>
        <w:snapToGrid w:val="0"/>
        <w:spacing w:after="0"/>
        <w:ind w:left="2728" w:right="567"/>
        <w:contextualSpacing w:val="0"/>
        <w:rPr>
          <w:sz w:val="18"/>
          <w:szCs w:val="18"/>
        </w:rPr>
      </w:pPr>
      <w:r w:rsidRPr="006D5640">
        <w:rPr>
          <w:bCs/>
          <w:sz w:val="18"/>
          <w:szCs w:val="18"/>
        </w:rPr>
        <w:t>FFS: Whether the measurement for SS-RSRP is limited within SMTC</w:t>
      </w:r>
    </w:p>
    <w:p w14:paraId="5CCB32B2" w14:textId="77777777" w:rsidR="006D5640" w:rsidRPr="006D5640" w:rsidRDefault="006D5640" w:rsidP="006D5640">
      <w:pPr>
        <w:pStyle w:val="ListParagraph"/>
        <w:numPr>
          <w:ilvl w:val="2"/>
          <w:numId w:val="37"/>
        </w:numPr>
        <w:snapToGrid w:val="0"/>
        <w:spacing w:after="0"/>
        <w:ind w:left="2728" w:right="567"/>
        <w:contextualSpacing w:val="0"/>
        <w:rPr>
          <w:sz w:val="18"/>
          <w:szCs w:val="18"/>
        </w:rPr>
      </w:pPr>
      <w:r w:rsidRPr="006D5640">
        <w:rPr>
          <w:rFonts w:eastAsia="Malgun Gothic"/>
          <w:sz w:val="18"/>
          <w:szCs w:val="18"/>
        </w:rPr>
        <w:t>FFS: Detailed reporting method, e.g. via including existing L1-RSRP report, UE-initiated report etc.</w:t>
      </w:r>
    </w:p>
    <w:p w14:paraId="7A64C51B" w14:textId="77777777" w:rsidR="006D5640" w:rsidRPr="006D5640" w:rsidRDefault="006D5640" w:rsidP="006D5640">
      <w:pPr>
        <w:pStyle w:val="ListParagraph"/>
        <w:numPr>
          <w:ilvl w:val="1"/>
          <w:numId w:val="37"/>
        </w:numPr>
        <w:snapToGrid w:val="0"/>
        <w:spacing w:after="0"/>
        <w:ind w:left="2008" w:right="567"/>
        <w:contextualSpacing w:val="0"/>
        <w:rPr>
          <w:sz w:val="18"/>
          <w:szCs w:val="18"/>
        </w:rPr>
      </w:pPr>
      <w:r w:rsidRPr="006D5640">
        <w:rPr>
          <w:sz w:val="18"/>
          <w:szCs w:val="18"/>
        </w:rPr>
        <w:t xml:space="preserve">FFS: Whether or not to support CSI-RS (for e.g. mobility and/or tracking) of non-serving cell(s) as a measurement RS for </w:t>
      </w:r>
      <w:r w:rsidRPr="006D5640">
        <w:rPr>
          <w:color w:val="000000"/>
          <w:sz w:val="18"/>
          <w:szCs w:val="18"/>
        </w:rPr>
        <w:t xml:space="preserve">L1/L2-centric inter-cell mobility </w:t>
      </w:r>
      <w:r w:rsidRPr="006D5640">
        <w:rPr>
          <w:sz w:val="18"/>
          <w:szCs w:val="18"/>
        </w:rPr>
        <w:t xml:space="preserve">and inter-cell mTRP. If the support of CSI-RS (for e.g. mobility and/or tracking) of non-serving cell(s) as a measurement RS for </w:t>
      </w:r>
      <w:r w:rsidRPr="006D5640">
        <w:rPr>
          <w:color w:val="000000"/>
          <w:sz w:val="18"/>
          <w:szCs w:val="18"/>
        </w:rPr>
        <w:t xml:space="preserve">L1/L2-centric inter-cell mobility </w:t>
      </w:r>
      <w:r w:rsidRPr="006D5640">
        <w:rPr>
          <w:sz w:val="18"/>
          <w:szCs w:val="18"/>
        </w:rPr>
        <w:t xml:space="preserve">and inter-cell mTRP is confirmed, Rel.15 CSI-RSRP is also supported  </w:t>
      </w:r>
    </w:p>
    <w:p w14:paraId="06EA92F9" w14:textId="77777777" w:rsidR="006D5640" w:rsidRPr="006D5640" w:rsidRDefault="006D5640" w:rsidP="006D5640">
      <w:pPr>
        <w:pStyle w:val="ListParagraph"/>
        <w:numPr>
          <w:ilvl w:val="2"/>
          <w:numId w:val="37"/>
        </w:numPr>
        <w:snapToGrid w:val="0"/>
        <w:spacing w:after="0"/>
        <w:ind w:left="2728" w:right="567"/>
        <w:contextualSpacing w:val="0"/>
        <w:rPr>
          <w:sz w:val="18"/>
          <w:szCs w:val="18"/>
        </w:rPr>
      </w:pPr>
      <w:r w:rsidRPr="006D5640">
        <w:rPr>
          <w:sz w:val="18"/>
          <w:szCs w:val="18"/>
        </w:rPr>
        <w:t>Whether the support applies to CSI-RS with or without QCL source, or both</w:t>
      </w:r>
    </w:p>
    <w:p w14:paraId="70151F2A" w14:textId="77777777" w:rsidR="006D5640" w:rsidRPr="006D5640" w:rsidRDefault="006D5640" w:rsidP="006D5640">
      <w:pPr>
        <w:pStyle w:val="ListParagraph"/>
        <w:numPr>
          <w:ilvl w:val="1"/>
          <w:numId w:val="37"/>
        </w:numPr>
        <w:snapToGrid w:val="0"/>
        <w:spacing w:after="0"/>
        <w:ind w:left="2008" w:right="567"/>
        <w:contextualSpacing w:val="0"/>
        <w:rPr>
          <w:sz w:val="18"/>
          <w:szCs w:val="18"/>
        </w:rPr>
      </w:pPr>
      <w:r w:rsidRPr="006D5640">
        <w:rPr>
          <w:sz w:val="18"/>
          <w:szCs w:val="18"/>
        </w:rPr>
        <w:t xml:space="preserve">FFS: The number of non-serving cell(s) for measurement/reporting </w:t>
      </w:r>
    </w:p>
    <w:p w14:paraId="75597DC0" w14:textId="77777777" w:rsidR="006D5640" w:rsidRPr="006D5640" w:rsidRDefault="006D5640" w:rsidP="006D5640">
      <w:pPr>
        <w:pStyle w:val="ListParagraph"/>
        <w:numPr>
          <w:ilvl w:val="1"/>
          <w:numId w:val="37"/>
        </w:numPr>
        <w:snapToGrid w:val="0"/>
        <w:spacing w:after="0"/>
        <w:ind w:left="2008" w:right="567"/>
        <w:contextualSpacing w:val="0"/>
        <w:rPr>
          <w:sz w:val="18"/>
          <w:szCs w:val="18"/>
        </w:rPr>
      </w:pPr>
      <w:r w:rsidRPr="006D5640">
        <w:rPr>
          <w:sz w:val="18"/>
          <w:szCs w:val="18"/>
        </w:rPr>
        <w:t>FFS: time behavior of the reporting, i.e. periodic, semi-persistent, aperiodic, or UE-initiated</w:t>
      </w:r>
    </w:p>
    <w:p w14:paraId="053A1362" w14:textId="77777777" w:rsidR="006D5640" w:rsidRPr="006D5640" w:rsidRDefault="006D5640" w:rsidP="006D5640">
      <w:pPr>
        <w:pStyle w:val="ListParagraph"/>
        <w:numPr>
          <w:ilvl w:val="0"/>
          <w:numId w:val="37"/>
        </w:numPr>
        <w:snapToGrid w:val="0"/>
        <w:spacing w:after="0"/>
        <w:ind w:left="1288" w:right="567"/>
        <w:contextualSpacing w:val="0"/>
        <w:rPr>
          <w:sz w:val="18"/>
          <w:szCs w:val="18"/>
        </w:rPr>
      </w:pPr>
      <w:r w:rsidRPr="006D5640">
        <w:rPr>
          <w:sz w:val="18"/>
          <w:szCs w:val="18"/>
        </w:rPr>
        <w:t>FFS: If other reporting quantities are supported, e.g. L3-RSRP, hybrid L1/L3-RSRP</w:t>
      </w:r>
    </w:p>
    <w:p w14:paraId="200647FB" w14:textId="77777777" w:rsidR="006D5640" w:rsidRPr="006D5640" w:rsidRDefault="006D5640" w:rsidP="006D5640">
      <w:pPr>
        <w:snapToGrid w:val="0"/>
        <w:spacing w:after="0"/>
        <w:ind w:left="568" w:right="567"/>
        <w:rPr>
          <w:bCs/>
          <w:sz w:val="18"/>
          <w:szCs w:val="18"/>
        </w:rPr>
      </w:pPr>
      <w:r w:rsidRPr="006D5640">
        <w:rPr>
          <w:bCs/>
          <w:sz w:val="18"/>
          <w:szCs w:val="18"/>
        </w:rPr>
        <w:t>[...]</w:t>
      </w:r>
    </w:p>
    <w:p w14:paraId="609F3F60" w14:textId="77777777" w:rsidR="0071688C" w:rsidRDefault="0071688C" w:rsidP="0027176C">
      <w:pPr>
        <w:spacing w:after="0"/>
        <w:rPr>
          <w:sz w:val="22"/>
          <w:szCs w:val="22"/>
          <w:lang w:val="en-US"/>
        </w:rPr>
      </w:pPr>
    </w:p>
    <w:p w14:paraId="21B67740" w14:textId="3BCD74C1" w:rsidR="0071688C" w:rsidRDefault="00C9444A" w:rsidP="0027176C">
      <w:pPr>
        <w:spacing w:after="0"/>
        <w:rPr>
          <w:sz w:val="22"/>
          <w:szCs w:val="22"/>
          <w:lang w:val="en-US"/>
        </w:rPr>
      </w:pPr>
      <w:r>
        <w:rPr>
          <w:sz w:val="22"/>
          <w:szCs w:val="22"/>
          <w:lang w:val="en-US"/>
        </w:rPr>
        <w:t>M</w:t>
      </w:r>
      <w:r w:rsidR="006D5640">
        <w:rPr>
          <w:sz w:val="22"/>
          <w:szCs w:val="22"/>
          <w:lang w:val="en-US"/>
        </w:rPr>
        <w:t>easure</w:t>
      </w:r>
      <w:r>
        <w:rPr>
          <w:sz w:val="22"/>
          <w:szCs w:val="22"/>
          <w:lang w:val="en-US"/>
        </w:rPr>
        <w:t>ments on non-serving cell of other</w:t>
      </w:r>
      <w:r w:rsidR="006D5640">
        <w:rPr>
          <w:sz w:val="22"/>
          <w:szCs w:val="22"/>
          <w:lang w:val="en-US"/>
        </w:rPr>
        <w:t xml:space="preserve"> signals </w:t>
      </w:r>
      <w:r w:rsidR="00884560">
        <w:rPr>
          <w:sz w:val="22"/>
          <w:szCs w:val="22"/>
          <w:lang w:val="en-US"/>
        </w:rPr>
        <w:t xml:space="preserve">in addition to SSB </w:t>
      </w:r>
      <w:r w:rsidR="006D5640">
        <w:rPr>
          <w:sz w:val="22"/>
          <w:szCs w:val="22"/>
          <w:lang w:val="en-US"/>
        </w:rPr>
        <w:t xml:space="preserve">have been discussed in RAN1 </w:t>
      </w:r>
      <w:r w:rsidR="00884560">
        <w:rPr>
          <w:sz w:val="22"/>
          <w:szCs w:val="22"/>
          <w:lang w:val="en-US"/>
        </w:rPr>
        <w:t xml:space="preserve">as </w:t>
      </w:r>
      <w:r>
        <w:rPr>
          <w:sz w:val="22"/>
          <w:szCs w:val="22"/>
          <w:lang w:val="en-US"/>
        </w:rPr>
        <w:t>captured</w:t>
      </w:r>
      <w:r w:rsidR="00884560">
        <w:rPr>
          <w:sz w:val="22"/>
          <w:szCs w:val="22"/>
          <w:lang w:val="en-US"/>
        </w:rPr>
        <w:t xml:space="preserve"> in the </w:t>
      </w:r>
      <w:r w:rsidR="006D5640">
        <w:rPr>
          <w:sz w:val="22"/>
          <w:szCs w:val="22"/>
          <w:lang w:val="en-US"/>
        </w:rPr>
        <w:t xml:space="preserve">current LS </w:t>
      </w:r>
      <w:r w:rsidR="006D5640">
        <w:rPr>
          <w:sz w:val="22"/>
          <w:szCs w:val="22"/>
          <w:lang w:val="en-US"/>
        </w:rPr>
        <w:fldChar w:fldCharType="begin"/>
      </w:r>
      <w:r w:rsidR="006D5640">
        <w:rPr>
          <w:sz w:val="22"/>
          <w:szCs w:val="22"/>
          <w:lang w:val="en-US"/>
        </w:rPr>
        <w:instrText xml:space="preserve"> REF _Ref67050273 \r \h </w:instrText>
      </w:r>
      <w:r w:rsidR="006D5640">
        <w:rPr>
          <w:sz w:val="22"/>
          <w:szCs w:val="22"/>
          <w:lang w:val="en-US"/>
        </w:rPr>
      </w:r>
      <w:r w:rsidR="006D5640">
        <w:rPr>
          <w:sz w:val="22"/>
          <w:szCs w:val="22"/>
          <w:lang w:val="en-US"/>
        </w:rPr>
        <w:fldChar w:fldCharType="separate"/>
      </w:r>
      <w:r w:rsidR="006D5640">
        <w:rPr>
          <w:sz w:val="22"/>
          <w:szCs w:val="22"/>
          <w:lang w:val="en-US"/>
        </w:rPr>
        <w:t>[1]</w:t>
      </w:r>
      <w:r w:rsidR="006D5640">
        <w:rPr>
          <w:sz w:val="22"/>
          <w:szCs w:val="22"/>
          <w:lang w:val="en-US"/>
        </w:rPr>
        <w:fldChar w:fldCharType="end"/>
      </w:r>
      <w:r w:rsidR="006D5640">
        <w:rPr>
          <w:sz w:val="22"/>
          <w:szCs w:val="22"/>
          <w:lang w:val="en-US"/>
        </w:rPr>
        <w:t>:</w:t>
      </w:r>
    </w:p>
    <w:p w14:paraId="02CD0235" w14:textId="0DDA50F3" w:rsidR="006D5640" w:rsidRDefault="006D5640" w:rsidP="0027176C">
      <w:pPr>
        <w:spacing w:after="0"/>
        <w:rPr>
          <w:sz w:val="22"/>
          <w:szCs w:val="22"/>
          <w:lang w:val="en-US"/>
        </w:rPr>
      </w:pPr>
    </w:p>
    <w:p w14:paraId="01DB05F7" w14:textId="30A27447" w:rsidR="006D5640" w:rsidRPr="006D5640" w:rsidRDefault="006D5640" w:rsidP="006D5640">
      <w:pPr>
        <w:ind w:left="568" w:right="567"/>
        <w:rPr>
          <w:rFonts w:cs="Times"/>
          <w:sz w:val="18"/>
          <w:szCs w:val="18"/>
        </w:rPr>
      </w:pPr>
      <w:r>
        <w:rPr>
          <w:rFonts w:cs="Times"/>
          <w:sz w:val="18"/>
          <w:szCs w:val="18"/>
        </w:rPr>
        <w:t>[...]</w:t>
      </w:r>
      <w:r>
        <w:rPr>
          <w:rFonts w:cs="Times"/>
          <w:sz w:val="18"/>
          <w:szCs w:val="18"/>
        </w:rPr>
        <w:br/>
      </w:r>
      <w:r w:rsidRPr="006D5640">
        <w:rPr>
          <w:rFonts w:cs="Times"/>
          <w:sz w:val="18"/>
          <w:szCs w:val="18"/>
        </w:rPr>
        <w:t xml:space="preserve">On Rel.17 enhancements </w:t>
      </w:r>
      <w:r w:rsidRPr="006D5640">
        <w:rPr>
          <w:rFonts w:cs="Times"/>
          <w:color w:val="000000"/>
          <w:sz w:val="18"/>
          <w:szCs w:val="18"/>
        </w:rPr>
        <w:t xml:space="preserve">for L1/L2-centric inter-cell mobility, </w:t>
      </w:r>
    </w:p>
    <w:p w14:paraId="4A808DDD" w14:textId="77777777" w:rsidR="006D5640" w:rsidRPr="006D5640" w:rsidRDefault="006D5640" w:rsidP="006D5640">
      <w:pPr>
        <w:numPr>
          <w:ilvl w:val="0"/>
          <w:numId w:val="30"/>
        </w:numPr>
        <w:tabs>
          <w:tab w:val="clear" w:pos="720"/>
          <w:tab w:val="num" w:pos="1288"/>
        </w:tabs>
        <w:spacing w:after="0"/>
        <w:ind w:left="1288" w:right="567"/>
        <w:rPr>
          <w:rFonts w:cs="Times"/>
          <w:sz w:val="18"/>
          <w:szCs w:val="18"/>
        </w:rPr>
      </w:pPr>
      <w:r w:rsidRPr="006D5640">
        <w:rPr>
          <w:rFonts w:cs="Times"/>
          <w:sz w:val="18"/>
          <w:szCs w:val="18"/>
          <w:highlight w:val="cyan"/>
        </w:rPr>
        <w:t>Discuss whether to support at least the source RS types already agreed for intra-cell mobility for the purpose of referencing to non-serving cell(s).</w:t>
      </w:r>
      <w:r w:rsidRPr="006D5640">
        <w:rPr>
          <w:rFonts w:cs="Times"/>
          <w:sz w:val="18"/>
          <w:szCs w:val="18"/>
        </w:rPr>
        <w:t xml:space="preserve"> Note: This implies the following source RS(s): </w:t>
      </w:r>
    </w:p>
    <w:p w14:paraId="40CF312A"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CSI-RS for BM configured for non-serving cell(s) for DL QCL and UL TX spatial references</w:t>
      </w:r>
    </w:p>
    <w:p w14:paraId="679DF132"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CSI-RS for tracking (TRS) configured for non-serving cell(s) for DL QCL and UL TX spatial references</w:t>
      </w:r>
    </w:p>
    <w:p w14:paraId="313AFC4F"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SSB configured for non-serving cell(s) for UL TX spatial references</w:t>
      </w:r>
    </w:p>
    <w:p w14:paraId="3EEE20D1"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SRS for BM configured for non-serving cell(s) for UL TX spatial references</w:t>
      </w:r>
    </w:p>
    <w:p w14:paraId="506DBBA8"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 xml:space="preserve">FFS: whether to support CSI-RS for mobility </w:t>
      </w:r>
    </w:p>
    <w:p w14:paraId="1CC4EBAF"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FFS: whether to support other source RS(s) potentially agreed later for intra-cell mobility</w:t>
      </w:r>
    </w:p>
    <w:p w14:paraId="18E886FC" w14:textId="0AE927A6" w:rsid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FFS: whether to support CSI-RS for BM and tracking configured for non-serving cell(s) and without non-serving cell SSB as QCL-TypeD source</w:t>
      </w:r>
    </w:p>
    <w:p w14:paraId="2DA2B92A" w14:textId="5F1BDA2D" w:rsidR="006D5640" w:rsidRPr="006D5640" w:rsidRDefault="006D5640" w:rsidP="006D5640">
      <w:pPr>
        <w:spacing w:after="0"/>
        <w:ind w:left="568" w:right="567"/>
        <w:rPr>
          <w:rFonts w:cs="Times"/>
          <w:sz w:val="18"/>
          <w:szCs w:val="18"/>
        </w:rPr>
      </w:pPr>
      <w:r>
        <w:rPr>
          <w:rFonts w:cs="Times"/>
          <w:sz w:val="18"/>
          <w:szCs w:val="18"/>
        </w:rPr>
        <w:t>[...]</w:t>
      </w:r>
    </w:p>
    <w:p w14:paraId="0B6020E7" w14:textId="77777777" w:rsidR="006D5640" w:rsidRPr="00D95AD9" w:rsidRDefault="006D5640" w:rsidP="0027176C">
      <w:pPr>
        <w:spacing w:after="0"/>
        <w:rPr>
          <w:color w:val="365F91" w:themeColor="accent1" w:themeShade="BF"/>
          <w:sz w:val="22"/>
          <w:szCs w:val="22"/>
        </w:rPr>
      </w:pPr>
    </w:p>
    <w:p w14:paraId="741795FF" w14:textId="459A3CBB" w:rsidR="0071688C" w:rsidRPr="00E91BA1" w:rsidRDefault="00152BBC" w:rsidP="00E01ECD">
      <w:pPr>
        <w:spacing w:after="0"/>
        <w:ind w:left="1560" w:hanging="1560"/>
        <w:rPr>
          <w:color w:val="4F81BD" w:themeColor="accent1"/>
          <w:sz w:val="22"/>
          <w:szCs w:val="22"/>
          <w:lang w:val="en-US"/>
        </w:rPr>
      </w:pPr>
      <w:r w:rsidRPr="00D95AD9">
        <w:rPr>
          <w:b/>
          <w:bCs/>
          <w:color w:val="365F91" w:themeColor="accent1" w:themeShade="BF"/>
          <w:sz w:val="22"/>
          <w:szCs w:val="22"/>
          <w:lang w:val="en-US"/>
        </w:rPr>
        <w:t>Observation 1:</w:t>
      </w:r>
      <w:r w:rsidRPr="00D95AD9">
        <w:rPr>
          <w:color w:val="365F91" w:themeColor="accent1" w:themeShade="BF"/>
          <w:sz w:val="22"/>
          <w:szCs w:val="22"/>
          <w:lang w:val="en-US"/>
        </w:rPr>
        <w:t xml:space="preserve"> </w:t>
      </w:r>
      <w:r w:rsidR="00E01ECD">
        <w:rPr>
          <w:color w:val="365F91" w:themeColor="accent1" w:themeShade="BF"/>
          <w:sz w:val="22"/>
          <w:szCs w:val="22"/>
          <w:lang w:val="en-US"/>
        </w:rPr>
        <w:tab/>
      </w:r>
      <w:r w:rsidRPr="00E91BA1">
        <w:rPr>
          <w:sz w:val="22"/>
          <w:szCs w:val="22"/>
          <w:lang w:val="en-US"/>
        </w:rPr>
        <w:t xml:space="preserve">L1-RSRP is to be used as reporting quantity for measurement for L1/L2-centric inter-cell mobility, and at least SS-RSRP is to be supported. </w:t>
      </w:r>
    </w:p>
    <w:p w14:paraId="21AFAFFA" w14:textId="06C2CD28" w:rsidR="00EA4AC1" w:rsidRDefault="00EA4AC1" w:rsidP="00FE0080">
      <w:pPr>
        <w:spacing w:after="0"/>
        <w:rPr>
          <w:sz w:val="22"/>
          <w:szCs w:val="22"/>
          <w:lang w:val="en-US"/>
        </w:rPr>
      </w:pPr>
    </w:p>
    <w:p w14:paraId="63D664C4" w14:textId="3349F497" w:rsidR="00152BBC" w:rsidRDefault="00152BBC" w:rsidP="00152BBC">
      <w:pPr>
        <w:spacing w:after="0"/>
        <w:rPr>
          <w:sz w:val="22"/>
          <w:szCs w:val="22"/>
        </w:rPr>
      </w:pPr>
      <w:r w:rsidRPr="00152BBC">
        <w:rPr>
          <w:sz w:val="22"/>
          <w:szCs w:val="22"/>
        </w:rPr>
        <w:t xml:space="preserve">Existing requirements </w:t>
      </w:r>
      <w:r w:rsidR="008B5214">
        <w:rPr>
          <w:sz w:val="22"/>
          <w:szCs w:val="22"/>
        </w:rPr>
        <w:t>on</w:t>
      </w:r>
      <w:r w:rsidRPr="00152BBC">
        <w:rPr>
          <w:sz w:val="22"/>
          <w:szCs w:val="22"/>
        </w:rPr>
        <w:t xml:space="preserve"> L1-RSRP measurements for reporting (TS 38.133 clause 9.5) cover L1-RSRP measurements on serving cell only. When extending the functionality to also include an intra-frequency neighbor cell with potentially overlapping reference signals, it may be necessary to secure that UE has capability of processing L1-RSRP measurements for serving and non-serving cells simultaneously, as further scaling of measurement periods potentially </w:t>
      </w:r>
      <w:r w:rsidR="00241DD7">
        <w:rPr>
          <w:sz w:val="22"/>
          <w:szCs w:val="22"/>
        </w:rPr>
        <w:t xml:space="preserve">will </w:t>
      </w:r>
      <w:r w:rsidRPr="00152BBC">
        <w:rPr>
          <w:sz w:val="22"/>
          <w:szCs w:val="22"/>
        </w:rPr>
        <w:t>have a negative impact on the TCI state handling</w:t>
      </w:r>
      <w:r w:rsidR="00D95AD9">
        <w:rPr>
          <w:sz w:val="22"/>
          <w:szCs w:val="22"/>
        </w:rPr>
        <w:t xml:space="preserve"> and therefore on the system per</w:t>
      </w:r>
      <w:r w:rsidR="00013AD0">
        <w:rPr>
          <w:sz w:val="22"/>
          <w:szCs w:val="22"/>
        </w:rPr>
        <w:t>f</w:t>
      </w:r>
      <w:r w:rsidR="00D95AD9">
        <w:rPr>
          <w:sz w:val="22"/>
          <w:szCs w:val="22"/>
        </w:rPr>
        <w:t>ormance.</w:t>
      </w:r>
    </w:p>
    <w:p w14:paraId="081D0CFA" w14:textId="5D879355" w:rsidR="00152BBC" w:rsidRDefault="00152BBC" w:rsidP="00152BBC">
      <w:pPr>
        <w:spacing w:after="0"/>
        <w:rPr>
          <w:sz w:val="22"/>
          <w:szCs w:val="22"/>
        </w:rPr>
      </w:pPr>
    </w:p>
    <w:p w14:paraId="352C0CC8" w14:textId="723B3B5B" w:rsidR="00152BBC" w:rsidRDefault="00152BBC" w:rsidP="00E01ECD">
      <w:pPr>
        <w:spacing w:after="0"/>
        <w:ind w:left="1560" w:hanging="1560"/>
        <w:rPr>
          <w:sz w:val="22"/>
          <w:szCs w:val="22"/>
        </w:rPr>
      </w:pPr>
      <w:r w:rsidRPr="00D95AD9">
        <w:rPr>
          <w:b/>
          <w:bCs/>
          <w:color w:val="365F91" w:themeColor="accent1" w:themeShade="BF"/>
          <w:sz w:val="22"/>
          <w:szCs w:val="22"/>
        </w:rPr>
        <w:t>Obs</w:t>
      </w:r>
      <w:r w:rsidR="00241DD7" w:rsidRPr="00D95AD9">
        <w:rPr>
          <w:b/>
          <w:bCs/>
          <w:color w:val="365F91" w:themeColor="accent1" w:themeShade="BF"/>
          <w:sz w:val="22"/>
          <w:szCs w:val="22"/>
        </w:rPr>
        <w:t>e</w:t>
      </w:r>
      <w:r w:rsidRPr="00D95AD9">
        <w:rPr>
          <w:b/>
          <w:bCs/>
          <w:color w:val="365F91" w:themeColor="accent1" w:themeShade="BF"/>
          <w:sz w:val="22"/>
          <w:szCs w:val="22"/>
        </w:rPr>
        <w:t>rvation 2:</w:t>
      </w:r>
      <w:r w:rsidR="00E01ECD">
        <w:rPr>
          <w:b/>
          <w:bCs/>
          <w:color w:val="365F91" w:themeColor="accent1" w:themeShade="BF"/>
          <w:sz w:val="22"/>
          <w:szCs w:val="22"/>
        </w:rPr>
        <w:tab/>
      </w:r>
      <w:r w:rsidR="00241DD7">
        <w:rPr>
          <w:sz w:val="22"/>
          <w:szCs w:val="22"/>
        </w:rPr>
        <w:t xml:space="preserve">Existing L1-RSRP requirements assume serving cell measurement only. When adding non-serving measurements, increased capability </w:t>
      </w:r>
      <w:r w:rsidR="008437D1">
        <w:rPr>
          <w:sz w:val="22"/>
          <w:szCs w:val="22"/>
        </w:rPr>
        <w:t xml:space="preserve">to measure serving and non-serving cells simultaneously </w:t>
      </w:r>
      <w:r w:rsidR="00241DD7">
        <w:rPr>
          <w:sz w:val="22"/>
          <w:szCs w:val="22"/>
        </w:rPr>
        <w:t>may be needed in order to prevent degraded TCI state handling</w:t>
      </w:r>
      <w:r w:rsidR="008437D1">
        <w:rPr>
          <w:sz w:val="22"/>
          <w:szCs w:val="22"/>
        </w:rPr>
        <w:t xml:space="preserve"> due to increased measurement period</w:t>
      </w:r>
      <w:r w:rsidR="00241DD7">
        <w:rPr>
          <w:sz w:val="22"/>
          <w:szCs w:val="22"/>
        </w:rPr>
        <w:t>.</w:t>
      </w:r>
    </w:p>
    <w:p w14:paraId="1A41F237" w14:textId="6EF5DBE7" w:rsidR="00241DD7" w:rsidRDefault="00241DD7" w:rsidP="00152BBC">
      <w:pPr>
        <w:spacing w:after="0"/>
        <w:rPr>
          <w:sz w:val="22"/>
          <w:szCs w:val="22"/>
        </w:rPr>
      </w:pPr>
    </w:p>
    <w:p w14:paraId="69022866" w14:textId="22661757" w:rsidR="00241DD7" w:rsidRDefault="00E91BA1" w:rsidP="00E01ECD">
      <w:pPr>
        <w:spacing w:after="0"/>
        <w:ind w:left="1560" w:hanging="1560"/>
        <w:rPr>
          <w:sz w:val="22"/>
          <w:szCs w:val="22"/>
        </w:rPr>
      </w:pPr>
      <w:r w:rsidRPr="00D95AD9">
        <w:rPr>
          <w:b/>
          <w:bCs/>
          <w:color w:val="365F91" w:themeColor="accent1" w:themeShade="BF"/>
          <w:sz w:val="22"/>
          <w:szCs w:val="22"/>
        </w:rPr>
        <w:t>Observation 3:</w:t>
      </w:r>
      <w:r w:rsidRPr="00D95AD9">
        <w:rPr>
          <w:color w:val="365F91" w:themeColor="accent1" w:themeShade="BF"/>
          <w:sz w:val="22"/>
          <w:szCs w:val="22"/>
        </w:rPr>
        <w:t xml:space="preserve"> </w:t>
      </w:r>
      <w:r w:rsidR="00E01ECD">
        <w:rPr>
          <w:color w:val="365F91" w:themeColor="accent1" w:themeShade="BF"/>
          <w:sz w:val="22"/>
          <w:szCs w:val="22"/>
        </w:rPr>
        <w:tab/>
      </w:r>
      <w:r>
        <w:rPr>
          <w:sz w:val="22"/>
          <w:szCs w:val="22"/>
        </w:rPr>
        <w:t xml:space="preserve">There is no significant difference between supporting </w:t>
      </w:r>
      <w:r w:rsidR="00D95AD9">
        <w:rPr>
          <w:sz w:val="22"/>
          <w:szCs w:val="22"/>
        </w:rPr>
        <w:t xml:space="preserve">intra-frequency </w:t>
      </w:r>
      <w:r>
        <w:rPr>
          <w:sz w:val="22"/>
          <w:szCs w:val="22"/>
        </w:rPr>
        <w:t>measurement</w:t>
      </w:r>
      <w:r w:rsidR="00D95AD9">
        <w:rPr>
          <w:sz w:val="22"/>
          <w:szCs w:val="22"/>
        </w:rPr>
        <w:t>s</w:t>
      </w:r>
      <w:r>
        <w:rPr>
          <w:sz w:val="22"/>
          <w:szCs w:val="22"/>
        </w:rPr>
        <w:t xml:space="preserve"> for L1/L2-centric inter-cell mobility for intra-band CA and inter-band CA scenarios, respectively</w:t>
      </w:r>
      <w:r w:rsidR="00D95AD9">
        <w:rPr>
          <w:sz w:val="22"/>
          <w:szCs w:val="22"/>
        </w:rPr>
        <w:t>.</w:t>
      </w:r>
    </w:p>
    <w:p w14:paraId="69C79AF3" w14:textId="29904BFF" w:rsidR="00B4479C" w:rsidRDefault="00B4479C" w:rsidP="00152BBC">
      <w:pPr>
        <w:spacing w:after="0"/>
        <w:rPr>
          <w:sz w:val="22"/>
          <w:szCs w:val="22"/>
        </w:rPr>
      </w:pPr>
    </w:p>
    <w:p w14:paraId="1FC048CF" w14:textId="171E2FB0" w:rsidR="00B4479C" w:rsidRPr="00E01ECD" w:rsidRDefault="00B4479C" w:rsidP="00E01ECD">
      <w:pPr>
        <w:spacing w:after="0"/>
        <w:ind w:left="1134" w:hanging="1134"/>
        <w:rPr>
          <w:b/>
          <w:bCs/>
          <w:color w:val="365F91" w:themeColor="accent1" w:themeShade="BF"/>
          <w:sz w:val="22"/>
          <w:szCs w:val="22"/>
        </w:rPr>
      </w:pPr>
      <w:r w:rsidRPr="00B4479C">
        <w:rPr>
          <w:b/>
          <w:bCs/>
          <w:color w:val="365F91" w:themeColor="accent1" w:themeShade="BF"/>
          <w:sz w:val="22"/>
          <w:szCs w:val="22"/>
        </w:rPr>
        <w:t>Propos</w:t>
      </w:r>
      <w:r w:rsidR="00E01ECD">
        <w:rPr>
          <w:b/>
          <w:bCs/>
          <w:color w:val="365F91" w:themeColor="accent1" w:themeShade="BF"/>
          <w:sz w:val="22"/>
          <w:szCs w:val="22"/>
        </w:rPr>
        <w:t>al 1</w:t>
      </w:r>
      <w:r w:rsidRPr="00B4479C">
        <w:rPr>
          <w:b/>
          <w:bCs/>
          <w:color w:val="365F91" w:themeColor="accent1" w:themeShade="BF"/>
          <w:sz w:val="22"/>
          <w:szCs w:val="22"/>
        </w:rPr>
        <w:t>:</w:t>
      </w:r>
      <w:r w:rsidR="000F5D56">
        <w:rPr>
          <w:b/>
          <w:bCs/>
          <w:color w:val="365F91" w:themeColor="accent1" w:themeShade="BF"/>
          <w:sz w:val="22"/>
          <w:szCs w:val="22"/>
        </w:rPr>
        <w:t xml:space="preserve"> </w:t>
      </w:r>
      <w:r w:rsidR="00E01ECD">
        <w:rPr>
          <w:b/>
          <w:bCs/>
          <w:color w:val="365F91" w:themeColor="accent1" w:themeShade="BF"/>
          <w:sz w:val="22"/>
          <w:szCs w:val="22"/>
        </w:rPr>
        <w:tab/>
      </w:r>
      <w:r w:rsidR="00E01ECD">
        <w:rPr>
          <w:sz w:val="22"/>
          <w:szCs w:val="22"/>
        </w:rPr>
        <w:t xml:space="preserve">RAN4 replies to Question 5 as follows. </w:t>
      </w:r>
      <w:r w:rsidR="00CA312D" w:rsidRPr="00E01ECD">
        <w:rPr>
          <w:sz w:val="22"/>
          <w:szCs w:val="22"/>
        </w:rPr>
        <w:t>From RAN4 perspective, there is no significant difference between measurements on intra-frequency non-serving cell in intra-band and inter-band CA scenarios.</w:t>
      </w:r>
    </w:p>
    <w:p w14:paraId="2CABC308" w14:textId="5465DBF4" w:rsidR="00D95AD9" w:rsidRDefault="00D95AD9" w:rsidP="00152BBC">
      <w:pPr>
        <w:spacing w:after="0"/>
        <w:rPr>
          <w:sz w:val="22"/>
          <w:szCs w:val="22"/>
        </w:rPr>
      </w:pPr>
    </w:p>
    <w:p w14:paraId="2AFDCCC0" w14:textId="17AD13B7" w:rsidR="00EA4AC1" w:rsidRDefault="00D95AD9" w:rsidP="00FE0080">
      <w:pPr>
        <w:spacing w:after="0"/>
        <w:rPr>
          <w:sz w:val="22"/>
          <w:szCs w:val="22"/>
        </w:rPr>
      </w:pPr>
      <w:r>
        <w:rPr>
          <w:i/>
          <w:iCs/>
          <w:sz w:val="22"/>
          <w:szCs w:val="22"/>
        </w:rPr>
        <w:lastRenderedPageBreak/>
        <w:t>Second question</w:t>
      </w:r>
    </w:p>
    <w:p w14:paraId="18D7F5AF" w14:textId="3049E4E1" w:rsidR="00D95AD9" w:rsidRDefault="00D95AD9" w:rsidP="00FE0080">
      <w:pPr>
        <w:spacing w:after="0"/>
        <w:rPr>
          <w:sz w:val="22"/>
          <w:szCs w:val="22"/>
        </w:rPr>
      </w:pPr>
    </w:p>
    <w:p w14:paraId="0CCA6D43" w14:textId="76332B31" w:rsidR="00377D34" w:rsidRDefault="008B5214" w:rsidP="00FE0080">
      <w:pPr>
        <w:spacing w:after="0"/>
        <w:rPr>
          <w:sz w:val="22"/>
          <w:szCs w:val="22"/>
        </w:rPr>
      </w:pPr>
      <w:r>
        <w:rPr>
          <w:sz w:val="22"/>
          <w:szCs w:val="22"/>
        </w:rPr>
        <w:t xml:space="preserve">Existing requirements on inter-frequency measurements for L3 reporting (TS 38.133 clause 9.3) are specified both for UE needing measurement gap, and UE being capable of carrying out such measurements without gaps. The most common from UEs in the field is that they need measurement gaps. In either case, the assumption is that UE carries out inter-frequency measurements on one inter-frequency carrier at a time, whereby the measurement period for an inter-frequency carrier becomes scaled by the number of measurement objects that compete for the same resources. This is managed by a so called carrier specific scaling factor, CSSF (TS 38.133 clause 9.1.5). </w:t>
      </w:r>
    </w:p>
    <w:p w14:paraId="2A75CF3D" w14:textId="6B6F9F7E" w:rsidR="00745036" w:rsidRDefault="00745036" w:rsidP="00FE0080">
      <w:pPr>
        <w:spacing w:after="0"/>
        <w:rPr>
          <w:sz w:val="22"/>
          <w:szCs w:val="22"/>
        </w:rPr>
      </w:pPr>
    </w:p>
    <w:p w14:paraId="6BF2C312" w14:textId="0445A651" w:rsidR="00AD5EE4" w:rsidRPr="00745036" w:rsidRDefault="00745036" w:rsidP="00AD5EE4">
      <w:pPr>
        <w:spacing w:after="0"/>
        <w:rPr>
          <w:sz w:val="22"/>
          <w:szCs w:val="22"/>
        </w:rPr>
      </w:pPr>
      <w:r w:rsidRPr="00745036">
        <w:rPr>
          <w:sz w:val="22"/>
          <w:szCs w:val="22"/>
        </w:rPr>
        <w:t>Currently there are no inter-frequency measurements defined for L1 reporting, hence new</w:t>
      </w:r>
      <w:r w:rsidR="00AD5EE4" w:rsidRPr="00745036">
        <w:rPr>
          <w:sz w:val="22"/>
          <w:szCs w:val="22"/>
        </w:rPr>
        <w:t xml:space="preserve"> requirements and conditions </w:t>
      </w:r>
      <w:r>
        <w:rPr>
          <w:sz w:val="22"/>
          <w:szCs w:val="22"/>
        </w:rPr>
        <w:t>need to be defined.</w:t>
      </w:r>
    </w:p>
    <w:p w14:paraId="5B326D6B" w14:textId="7EB5AA0C" w:rsidR="00AD5EE4" w:rsidRPr="00745036" w:rsidRDefault="00AD5EE4" w:rsidP="00AD5EE4">
      <w:pPr>
        <w:spacing w:after="0"/>
        <w:rPr>
          <w:sz w:val="22"/>
          <w:szCs w:val="22"/>
        </w:rPr>
      </w:pPr>
    </w:p>
    <w:p w14:paraId="40F3F533" w14:textId="366A2098" w:rsidR="00013AD0" w:rsidRDefault="00745036" w:rsidP="00AD5EE4">
      <w:pPr>
        <w:spacing w:after="0"/>
        <w:rPr>
          <w:sz w:val="22"/>
          <w:szCs w:val="22"/>
        </w:rPr>
      </w:pPr>
      <w:r w:rsidRPr="00745036">
        <w:rPr>
          <w:sz w:val="22"/>
          <w:szCs w:val="22"/>
        </w:rPr>
        <w:t xml:space="preserve">Principles for resource sharing </w:t>
      </w:r>
      <w:r>
        <w:rPr>
          <w:sz w:val="22"/>
          <w:szCs w:val="22"/>
        </w:rPr>
        <w:t xml:space="preserve">between L3 and L1 measurements may need to be revisited when extending the concept to inter-frequency measurements, since in the legacy from intra-frequency measurements in gaps (e.g. when concerned signals are </w:t>
      </w:r>
      <w:r w:rsidR="005A0223">
        <w:rPr>
          <w:sz w:val="22"/>
          <w:szCs w:val="22"/>
        </w:rPr>
        <w:t>systematically colliding with measurement gaps</w:t>
      </w:r>
      <w:r>
        <w:rPr>
          <w:sz w:val="22"/>
          <w:szCs w:val="22"/>
        </w:rPr>
        <w:t xml:space="preserve">), L3 and L1 measurements would be competing even if they targeted the same signal for the same cell. It is desirable that a UE carrying out both L3 and L1 measurements on e.g. SSB could carry out measurements for both simultaneously and not requiring two separate gaps for that measurement, </w:t>
      </w:r>
      <w:r w:rsidR="00013AD0">
        <w:rPr>
          <w:sz w:val="22"/>
          <w:szCs w:val="22"/>
        </w:rPr>
        <w:t xml:space="preserve">since too long </w:t>
      </w:r>
      <w:r w:rsidR="00013AD0" w:rsidRPr="00152BBC">
        <w:rPr>
          <w:sz w:val="22"/>
          <w:szCs w:val="22"/>
        </w:rPr>
        <w:t xml:space="preserve">measurement periods potentially </w:t>
      </w:r>
      <w:r w:rsidR="00013AD0">
        <w:rPr>
          <w:sz w:val="22"/>
          <w:szCs w:val="22"/>
        </w:rPr>
        <w:t xml:space="preserve">will </w:t>
      </w:r>
      <w:r w:rsidR="00013AD0" w:rsidRPr="00152BBC">
        <w:rPr>
          <w:sz w:val="22"/>
          <w:szCs w:val="22"/>
        </w:rPr>
        <w:t>have a negative impact on the TCI state handling</w:t>
      </w:r>
      <w:r w:rsidR="00013AD0">
        <w:rPr>
          <w:sz w:val="22"/>
          <w:szCs w:val="22"/>
        </w:rPr>
        <w:t xml:space="preserve"> and therefore on the system performance.</w:t>
      </w:r>
    </w:p>
    <w:p w14:paraId="51E76298" w14:textId="34BE3045" w:rsidR="00377D34" w:rsidRDefault="00377D34" w:rsidP="00AD5EE4">
      <w:pPr>
        <w:spacing w:after="0"/>
        <w:rPr>
          <w:sz w:val="22"/>
          <w:szCs w:val="22"/>
        </w:rPr>
      </w:pPr>
    </w:p>
    <w:p w14:paraId="15595CBF" w14:textId="4BC1672B" w:rsidR="008437D1" w:rsidRDefault="005A0223" w:rsidP="00E01ECD">
      <w:pPr>
        <w:spacing w:after="0"/>
        <w:ind w:left="1560" w:hanging="1560"/>
        <w:rPr>
          <w:sz w:val="22"/>
          <w:szCs w:val="22"/>
        </w:rPr>
      </w:pPr>
      <w:r w:rsidRPr="005A0223">
        <w:rPr>
          <w:b/>
          <w:bCs/>
          <w:color w:val="365F91" w:themeColor="accent1" w:themeShade="BF"/>
          <w:sz w:val="22"/>
          <w:szCs w:val="22"/>
        </w:rPr>
        <w:t>Observation 4:</w:t>
      </w:r>
      <w:r>
        <w:rPr>
          <w:sz w:val="22"/>
          <w:szCs w:val="22"/>
        </w:rPr>
        <w:t xml:space="preserve"> </w:t>
      </w:r>
      <w:r w:rsidR="00E01ECD">
        <w:rPr>
          <w:sz w:val="22"/>
          <w:szCs w:val="22"/>
        </w:rPr>
        <w:tab/>
      </w:r>
      <w:r>
        <w:rPr>
          <w:sz w:val="22"/>
          <w:szCs w:val="22"/>
        </w:rPr>
        <w:t xml:space="preserve">Current inter-frequency measurements are based on that inter-frequency carriers are measured one-by-one. </w:t>
      </w:r>
      <w:r w:rsidR="008437D1">
        <w:rPr>
          <w:sz w:val="22"/>
          <w:szCs w:val="22"/>
        </w:rPr>
        <w:t xml:space="preserve">This may lead to significantly </w:t>
      </w:r>
      <w:r w:rsidR="00D80DC0">
        <w:rPr>
          <w:sz w:val="22"/>
          <w:szCs w:val="22"/>
        </w:rPr>
        <w:t>longer</w:t>
      </w:r>
      <w:r w:rsidR="008437D1">
        <w:rPr>
          <w:sz w:val="22"/>
          <w:szCs w:val="22"/>
        </w:rPr>
        <w:t xml:space="preserve"> measurement periods for L1-RSRP measured on int</w:t>
      </w:r>
      <w:r w:rsidR="00D80DC0">
        <w:rPr>
          <w:sz w:val="22"/>
          <w:szCs w:val="22"/>
        </w:rPr>
        <w:t>er</w:t>
      </w:r>
      <w:r w:rsidR="008437D1">
        <w:rPr>
          <w:sz w:val="22"/>
          <w:szCs w:val="22"/>
        </w:rPr>
        <w:t>-frequency carriers than for the same measured on int</w:t>
      </w:r>
      <w:r w:rsidR="00D80DC0">
        <w:rPr>
          <w:sz w:val="22"/>
          <w:szCs w:val="22"/>
        </w:rPr>
        <w:t>ra</w:t>
      </w:r>
      <w:r w:rsidR="008437D1">
        <w:rPr>
          <w:sz w:val="22"/>
          <w:szCs w:val="22"/>
        </w:rPr>
        <w:t xml:space="preserve">-frequency carriers, which may have a negative impact on the TCI state handling. </w:t>
      </w:r>
      <w:r w:rsidR="00D80DC0">
        <w:rPr>
          <w:sz w:val="22"/>
          <w:szCs w:val="22"/>
        </w:rPr>
        <w:t>Increased capability e.g. by carrying out L1 and L3 simultaneously, when configured, may be considered in order to reduce the measurement period.</w:t>
      </w:r>
      <w:r w:rsidR="008437D1">
        <w:rPr>
          <w:sz w:val="22"/>
          <w:szCs w:val="22"/>
        </w:rPr>
        <w:t xml:space="preserve"> </w:t>
      </w:r>
    </w:p>
    <w:p w14:paraId="38A537F2" w14:textId="356023B2" w:rsidR="00B4479C" w:rsidRDefault="00B4479C" w:rsidP="00AD5EE4">
      <w:pPr>
        <w:spacing w:after="0"/>
        <w:rPr>
          <w:sz w:val="22"/>
          <w:szCs w:val="22"/>
        </w:rPr>
      </w:pPr>
    </w:p>
    <w:p w14:paraId="34CBD883" w14:textId="4DADBA4B" w:rsidR="00CA312D" w:rsidRPr="00CA312D" w:rsidRDefault="00B4479C" w:rsidP="00E01ECD">
      <w:pPr>
        <w:spacing w:after="120"/>
        <w:ind w:left="1134" w:hanging="1134"/>
        <w:rPr>
          <w:rFonts w:ascii="Arial" w:hAnsi="Arial" w:cs="Arial"/>
        </w:rPr>
      </w:pPr>
      <w:r w:rsidRPr="00CA312D">
        <w:rPr>
          <w:b/>
          <w:bCs/>
          <w:color w:val="365F91" w:themeColor="accent1" w:themeShade="BF"/>
          <w:sz w:val="22"/>
          <w:szCs w:val="22"/>
        </w:rPr>
        <w:t>Propos</w:t>
      </w:r>
      <w:r w:rsidR="00E01ECD">
        <w:rPr>
          <w:b/>
          <w:bCs/>
          <w:color w:val="365F91" w:themeColor="accent1" w:themeShade="BF"/>
          <w:sz w:val="22"/>
          <w:szCs w:val="22"/>
        </w:rPr>
        <w:t>al 2</w:t>
      </w:r>
      <w:r w:rsidRPr="00CA312D">
        <w:rPr>
          <w:b/>
          <w:bCs/>
          <w:color w:val="365F91" w:themeColor="accent1" w:themeShade="BF"/>
          <w:sz w:val="22"/>
          <w:szCs w:val="22"/>
        </w:rPr>
        <w:t>:</w:t>
      </w:r>
      <w:r w:rsidR="00CA312D" w:rsidRPr="00CA312D">
        <w:rPr>
          <w:rFonts w:ascii="Arial" w:hAnsi="Arial" w:cs="Arial"/>
        </w:rPr>
        <w:t xml:space="preserve"> </w:t>
      </w:r>
      <w:r w:rsidR="00E01ECD">
        <w:rPr>
          <w:rFonts w:ascii="Arial" w:hAnsi="Arial" w:cs="Arial"/>
        </w:rPr>
        <w:tab/>
      </w:r>
      <w:r w:rsidR="00E01ECD" w:rsidRPr="00E01ECD">
        <w:rPr>
          <w:sz w:val="22"/>
          <w:szCs w:val="22"/>
        </w:rPr>
        <w:t xml:space="preserve">RAN4 replies to Question 6 as follows. </w:t>
      </w:r>
      <w:r w:rsidR="00CA312D" w:rsidRPr="00E01ECD">
        <w:rPr>
          <w:sz w:val="22"/>
          <w:szCs w:val="22"/>
        </w:rPr>
        <w:t>From</w:t>
      </w:r>
      <w:r w:rsidR="00CA312D" w:rsidRPr="00CA312D">
        <w:rPr>
          <w:sz w:val="22"/>
          <w:szCs w:val="22"/>
        </w:rPr>
        <w:t xml:space="preserve"> RAN4 perspective, the main difference is with respect to measurement period for measurements on intra- and inter-frequency carriers. Regardless of whether gaps are used, inter-frequency measurements are based on that carriers are measured one-by-one. This may result in a significantly longer measurement period for inter-frequency than for intra-frequency measurements </w:t>
      </w:r>
      <w:r w:rsidR="00C41E5F">
        <w:rPr>
          <w:sz w:val="22"/>
          <w:szCs w:val="22"/>
        </w:rPr>
        <w:t>and thus</w:t>
      </w:r>
      <w:r w:rsidR="00CA312D" w:rsidRPr="00CA312D">
        <w:rPr>
          <w:sz w:val="22"/>
          <w:szCs w:val="22"/>
        </w:rPr>
        <w:t xml:space="preserve"> may </w:t>
      </w:r>
      <w:r w:rsidR="00C41E5F">
        <w:rPr>
          <w:sz w:val="22"/>
          <w:szCs w:val="22"/>
        </w:rPr>
        <w:t>impose challenges for</w:t>
      </w:r>
      <w:r w:rsidR="00CA312D" w:rsidRPr="00CA312D">
        <w:rPr>
          <w:sz w:val="22"/>
          <w:szCs w:val="22"/>
        </w:rPr>
        <w:t xml:space="preserve"> the TCI state handling.</w:t>
      </w:r>
    </w:p>
    <w:p w14:paraId="51B5DD72" w14:textId="3C8D8313" w:rsidR="00B4479C" w:rsidRPr="00B4479C" w:rsidRDefault="00590347" w:rsidP="00E01ECD">
      <w:pPr>
        <w:spacing w:after="0"/>
        <w:ind w:left="1134" w:hanging="1134"/>
        <w:rPr>
          <w:b/>
          <w:bCs/>
          <w:color w:val="365F91" w:themeColor="accent1" w:themeShade="BF"/>
          <w:sz w:val="22"/>
          <w:szCs w:val="22"/>
        </w:rPr>
      </w:pPr>
      <w:r>
        <w:rPr>
          <w:b/>
          <w:bCs/>
          <w:color w:val="365F91" w:themeColor="accent1" w:themeShade="BF"/>
          <w:sz w:val="22"/>
          <w:szCs w:val="22"/>
        </w:rPr>
        <w:t>Propos</w:t>
      </w:r>
      <w:r w:rsidR="00E01ECD">
        <w:rPr>
          <w:b/>
          <w:bCs/>
          <w:color w:val="365F91" w:themeColor="accent1" w:themeShade="BF"/>
          <w:sz w:val="22"/>
          <w:szCs w:val="22"/>
        </w:rPr>
        <w:t>al 3:</w:t>
      </w:r>
      <w:r>
        <w:rPr>
          <w:b/>
          <w:bCs/>
          <w:color w:val="365F91" w:themeColor="accent1" w:themeShade="BF"/>
          <w:sz w:val="22"/>
          <w:szCs w:val="22"/>
        </w:rPr>
        <w:t xml:space="preserve"> </w:t>
      </w:r>
      <w:r w:rsidR="00E01ECD" w:rsidRPr="00E01ECD">
        <w:rPr>
          <w:sz w:val="22"/>
          <w:szCs w:val="22"/>
        </w:rPr>
        <w:t xml:space="preserve">RAN4 provides </w:t>
      </w:r>
      <w:r w:rsidR="00E01ECD">
        <w:rPr>
          <w:sz w:val="22"/>
          <w:szCs w:val="22"/>
        </w:rPr>
        <w:t>further</w:t>
      </w:r>
      <w:r w:rsidR="00E01ECD" w:rsidRPr="00E01ECD">
        <w:rPr>
          <w:sz w:val="22"/>
          <w:szCs w:val="22"/>
        </w:rPr>
        <w:t xml:space="preserve"> </w:t>
      </w:r>
      <w:r w:rsidR="00E01ECD">
        <w:rPr>
          <w:sz w:val="22"/>
          <w:szCs w:val="22"/>
        </w:rPr>
        <w:t>input</w:t>
      </w:r>
      <w:r w:rsidR="00E01ECD" w:rsidRPr="00E01ECD">
        <w:rPr>
          <w:sz w:val="22"/>
          <w:szCs w:val="22"/>
        </w:rPr>
        <w:t xml:space="preserve"> as follows.</w:t>
      </w:r>
      <w:r w:rsidR="00E01ECD" w:rsidRPr="00E01ECD">
        <w:rPr>
          <w:b/>
          <w:bCs/>
          <w:sz w:val="22"/>
          <w:szCs w:val="22"/>
        </w:rPr>
        <w:t xml:space="preserve"> </w:t>
      </w:r>
      <w:r w:rsidRPr="00590347">
        <w:rPr>
          <w:sz w:val="22"/>
          <w:szCs w:val="22"/>
        </w:rPr>
        <w:t xml:space="preserve">RAN4 would further like to </w:t>
      </w:r>
      <w:r w:rsidR="00B66E98">
        <w:rPr>
          <w:sz w:val="22"/>
          <w:szCs w:val="22"/>
        </w:rPr>
        <w:t>add</w:t>
      </w:r>
      <w:r w:rsidRPr="00590347">
        <w:rPr>
          <w:sz w:val="22"/>
          <w:szCs w:val="22"/>
        </w:rPr>
        <w:t xml:space="preserve"> that if increase in measurement effort (e.g. from serving cell measurement only, to serving cell and intra-frequency non-serving cell measurements</w:t>
      </w:r>
      <w:r w:rsidR="00EC54D4">
        <w:rPr>
          <w:sz w:val="22"/>
          <w:szCs w:val="22"/>
        </w:rPr>
        <w:t>, or from inter-frequency L3 measurements to inter-frequency L1 and L3 measurements</w:t>
      </w:r>
      <w:r w:rsidRPr="00590347">
        <w:rPr>
          <w:sz w:val="22"/>
          <w:szCs w:val="22"/>
        </w:rPr>
        <w:t>) goes unmatched with increase in UE capacity for such measurements, the measurement periods may have to be extended. Further extending the measurement periods compared to baseline may have a negative impact on the TCI state handling.</w:t>
      </w:r>
    </w:p>
    <w:p w14:paraId="77436860" w14:textId="18108578" w:rsidR="008437D1" w:rsidRDefault="008437D1" w:rsidP="00AD5EE4">
      <w:pPr>
        <w:spacing w:after="0"/>
        <w:rPr>
          <w:sz w:val="22"/>
          <w:szCs w:val="22"/>
        </w:rPr>
      </w:pPr>
    </w:p>
    <w:bookmarkEnd w:id="4"/>
    <w:p w14:paraId="62534DB2" w14:textId="587DF059" w:rsidR="00D865DC" w:rsidRDefault="00D865DC" w:rsidP="00FB1365">
      <w:pPr>
        <w:pStyle w:val="Heading1"/>
        <w:ind w:left="431" w:hanging="431"/>
        <w:rPr>
          <w:szCs w:val="36"/>
          <w:lang w:val="en-CA"/>
        </w:rPr>
      </w:pPr>
      <w:r>
        <w:rPr>
          <w:szCs w:val="36"/>
          <w:lang w:val="en-CA"/>
        </w:rPr>
        <w:t>Summary and Conclusion</w:t>
      </w:r>
    </w:p>
    <w:p w14:paraId="72BA3BBF" w14:textId="1CD6D8C8" w:rsidR="009D446B" w:rsidRDefault="00D1502B" w:rsidP="00D812A2">
      <w:pPr>
        <w:rPr>
          <w:sz w:val="22"/>
          <w:lang w:val="en-CA"/>
        </w:rPr>
      </w:pPr>
      <w:r w:rsidRPr="00DF54C9">
        <w:rPr>
          <w:sz w:val="22"/>
          <w:lang w:val="en-CA"/>
        </w:rPr>
        <w:t xml:space="preserve">In this contribution </w:t>
      </w:r>
      <w:r w:rsidR="00886F56">
        <w:rPr>
          <w:sz w:val="22"/>
          <w:lang w:val="en-CA"/>
        </w:rPr>
        <w:t>we have provided our view on the two questions raised by RAN1 towards RAN4. The following observations are made:</w:t>
      </w:r>
    </w:p>
    <w:p w14:paraId="77C9812E" w14:textId="0349A2EF" w:rsidR="00E01ECD" w:rsidRPr="00571905" w:rsidRDefault="00E01ECD" w:rsidP="00571905">
      <w:pPr>
        <w:ind w:left="1560" w:hanging="1560"/>
        <w:rPr>
          <w:color w:val="4F81BD" w:themeColor="accent1"/>
          <w:sz w:val="22"/>
          <w:szCs w:val="22"/>
          <w:lang w:val="en-US"/>
        </w:rPr>
      </w:pPr>
      <w:r w:rsidRPr="00D95AD9">
        <w:rPr>
          <w:b/>
          <w:bCs/>
          <w:color w:val="365F91" w:themeColor="accent1" w:themeShade="BF"/>
          <w:sz w:val="22"/>
          <w:szCs w:val="22"/>
          <w:lang w:val="en-US"/>
        </w:rPr>
        <w:t>Observation 1:</w:t>
      </w:r>
      <w:r w:rsidRPr="00D95AD9">
        <w:rPr>
          <w:color w:val="365F91" w:themeColor="accent1" w:themeShade="BF"/>
          <w:sz w:val="22"/>
          <w:szCs w:val="22"/>
          <w:lang w:val="en-US"/>
        </w:rPr>
        <w:t xml:space="preserve"> </w:t>
      </w:r>
      <w:r>
        <w:rPr>
          <w:color w:val="365F91" w:themeColor="accent1" w:themeShade="BF"/>
          <w:sz w:val="22"/>
          <w:szCs w:val="22"/>
          <w:lang w:val="en-US"/>
        </w:rPr>
        <w:tab/>
      </w:r>
      <w:r w:rsidRPr="00E91BA1">
        <w:rPr>
          <w:sz w:val="22"/>
          <w:szCs w:val="22"/>
          <w:lang w:val="en-US"/>
        </w:rPr>
        <w:t xml:space="preserve">L1-RSRP is to be used as reporting quantity for measurement for L1/L2-centric inter-cell mobility, and at least SS-RSRP is to be supported. </w:t>
      </w:r>
    </w:p>
    <w:p w14:paraId="5A18C4FA" w14:textId="77777777" w:rsidR="00571905" w:rsidRDefault="00571905" w:rsidP="00571905">
      <w:pPr>
        <w:spacing w:after="0"/>
        <w:ind w:left="1560" w:hanging="1560"/>
        <w:rPr>
          <w:sz w:val="22"/>
          <w:szCs w:val="22"/>
        </w:rPr>
      </w:pPr>
      <w:r w:rsidRPr="00D95AD9">
        <w:rPr>
          <w:b/>
          <w:bCs/>
          <w:color w:val="365F91" w:themeColor="accent1" w:themeShade="BF"/>
          <w:sz w:val="22"/>
          <w:szCs w:val="22"/>
        </w:rPr>
        <w:t>Observation 2:</w:t>
      </w:r>
      <w:r>
        <w:rPr>
          <w:b/>
          <w:bCs/>
          <w:color w:val="365F91" w:themeColor="accent1" w:themeShade="BF"/>
          <w:sz w:val="22"/>
          <w:szCs w:val="22"/>
        </w:rPr>
        <w:tab/>
      </w:r>
      <w:r>
        <w:rPr>
          <w:sz w:val="22"/>
          <w:szCs w:val="22"/>
        </w:rPr>
        <w:t>Existing L1-RSRP requirements assume serving cell measurement only. When adding non-serving measurements, increased capability to measure serving and non-serving cells simultaneously may be needed in order to prevent degraded TCI state handling due to increased measurement period.</w:t>
      </w:r>
    </w:p>
    <w:p w14:paraId="7F58616E" w14:textId="7220BBC2" w:rsidR="00571905" w:rsidRDefault="00571905" w:rsidP="00571905">
      <w:pPr>
        <w:ind w:left="1560" w:hanging="1560"/>
        <w:rPr>
          <w:sz w:val="22"/>
          <w:szCs w:val="22"/>
        </w:rPr>
      </w:pPr>
      <w:r w:rsidRPr="00D95AD9">
        <w:rPr>
          <w:b/>
          <w:bCs/>
          <w:color w:val="365F91" w:themeColor="accent1" w:themeShade="BF"/>
          <w:sz w:val="22"/>
          <w:szCs w:val="22"/>
        </w:rPr>
        <w:lastRenderedPageBreak/>
        <w:t>Observation 3:</w:t>
      </w:r>
      <w:r w:rsidRPr="00D95AD9">
        <w:rPr>
          <w:color w:val="365F91" w:themeColor="accent1" w:themeShade="BF"/>
          <w:sz w:val="22"/>
          <w:szCs w:val="22"/>
        </w:rPr>
        <w:t xml:space="preserve"> </w:t>
      </w:r>
      <w:r>
        <w:rPr>
          <w:color w:val="365F91" w:themeColor="accent1" w:themeShade="BF"/>
          <w:sz w:val="22"/>
          <w:szCs w:val="22"/>
        </w:rPr>
        <w:tab/>
      </w:r>
      <w:r>
        <w:rPr>
          <w:sz w:val="22"/>
          <w:szCs w:val="22"/>
        </w:rPr>
        <w:t>There is no significant difference between supporting intra-frequency measurements for L1/L2-centric inter-cell mobility for intra-band CA and inter-band CA scenarios, respectively.</w:t>
      </w:r>
    </w:p>
    <w:p w14:paraId="6CCFF5FD" w14:textId="794738F5" w:rsidR="00571905" w:rsidRDefault="00571905" w:rsidP="00571905">
      <w:pPr>
        <w:ind w:left="1560" w:hanging="1560"/>
        <w:rPr>
          <w:sz w:val="22"/>
          <w:szCs w:val="22"/>
        </w:rPr>
      </w:pPr>
      <w:r w:rsidRPr="005A0223">
        <w:rPr>
          <w:b/>
          <w:bCs/>
          <w:color w:val="365F91" w:themeColor="accent1" w:themeShade="BF"/>
          <w:sz w:val="22"/>
          <w:szCs w:val="22"/>
        </w:rPr>
        <w:t>Observation 4:</w:t>
      </w:r>
      <w:r>
        <w:rPr>
          <w:sz w:val="22"/>
          <w:szCs w:val="22"/>
        </w:rPr>
        <w:t xml:space="preserve"> </w:t>
      </w:r>
      <w:r>
        <w:rPr>
          <w:sz w:val="22"/>
          <w:szCs w:val="22"/>
        </w:rPr>
        <w:tab/>
        <w:t xml:space="preserve">Current inter-frequency measurements are based on that inter-frequency carriers are measured one-by-one. This may lead to significantly longer measurement periods for L1-RSRP measured on inter-frequency carriers than for the same measured on intra-frequency carriers, which may have a negative impact on the TCI state handling. Increased capability e.g. by carrying out L1 and L3 simultaneously, when configured, may be considered in order to reduce the measurement period. </w:t>
      </w:r>
    </w:p>
    <w:p w14:paraId="78BB9B11" w14:textId="379372A0" w:rsidR="00886F56" w:rsidRDefault="00886F56" w:rsidP="00571905">
      <w:pPr>
        <w:ind w:left="1560" w:hanging="1560"/>
        <w:rPr>
          <w:sz w:val="22"/>
          <w:szCs w:val="22"/>
        </w:rPr>
      </w:pPr>
      <w:r>
        <w:rPr>
          <w:sz w:val="22"/>
          <w:szCs w:val="22"/>
        </w:rPr>
        <w:t>Based on the observations, we make the following proposals:</w:t>
      </w:r>
    </w:p>
    <w:p w14:paraId="148FD507" w14:textId="25B0CC7F" w:rsidR="00571905" w:rsidRPr="00571905" w:rsidRDefault="00571905" w:rsidP="00571905">
      <w:pPr>
        <w:ind w:left="1134" w:hanging="1134"/>
        <w:rPr>
          <w:b/>
          <w:bCs/>
          <w:color w:val="365F91" w:themeColor="accent1" w:themeShade="BF"/>
          <w:sz w:val="22"/>
          <w:szCs w:val="22"/>
        </w:rPr>
      </w:pPr>
      <w:r w:rsidRPr="00B4479C">
        <w:rPr>
          <w:b/>
          <w:bCs/>
          <w:color w:val="365F91" w:themeColor="accent1" w:themeShade="BF"/>
          <w:sz w:val="22"/>
          <w:szCs w:val="22"/>
        </w:rPr>
        <w:t>Propos</w:t>
      </w:r>
      <w:r>
        <w:rPr>
          <w:b/>
          <w:bCs/>
          <w:color w:val="365F91" w:themeColor="accent1" w:themeShade="BF"/>
          <w:sz w:val="22"/>
          <w:szCs w:val="22"/>
        </w:rPr>
        <w:t>al 1</w:t>
      </w:r>
      <w:r w:rsidRPr="00B4479C">
        <w:rPr>
          <w:b/>
          <w:bCs/>
          <w:color w:val="365F91" w:themeColor="accent1" w:themeShade="BF"/>
          <w:sz w:val="22"/>
          <w:szCs w:val="22"/>
        </w:rPr>
        <w:t>:</w:t>
      </w:r>
      <w:r>
        <w:rPr>
          <w:b/>
          <w:bCs/>
          <w:color w:val="365F91" w:themeColor="accent1" w:themeShade="BF"/>
          <w:sz w:val="22"/>
          <w:szCs w:val="22"/>
        </w:rPr>
        <w:t xml:space="preserve"> </w:t>
      </w:r>
      <w:r>
        <w:rPr>
          <w:b/>
          <w:bCs/>
          <w:color w:val="365F91" w:themeColor="accent1" w:themeShade="BF"/>
          <w:sz w:val="22"/>
          <w:szCs w:val="22"/>
        </w:rPr>
        <w:tab/>
      </w:r>
      <w:r>
        <w:rPr>
          <w:sz w:val="22"/>
          <w:szCs w:val="22"/>
        </w:rPr>
        <w:t xml:space="preserve">RAN4 replies to Question 5 as follows. </w:t>
      </w:r>
      <w:r w:rsidRPr="00E01ECD">
        <w:rPr>
          <w:sz w:val="22"/>
          <w:szCs w:val="22"/>
        </w:rPr>
        <w:t>From RAN4 perspective, there is no significant difference between measurements on intra-frequency non-serving cell in intra-band and inter-band CA scenarios.</w:t>
      </w:r>
    </w:p>
    <w:p w14:paraId="6CEC2284" w14:textId="0CEF0DC6" w:rsidR="00571905" w:rsidRPr="00CA312D" w:rsidRDefault="00571905" w:rsidP="00571905">
      <w:pPr>
        <w:spacing w:after="120"/>
        <w:ind w:left="1134" w:hanging="1134"/>
        <w:rPr>
          <w:rFonts w:ascii="Arial" w:hAnsi="Arial" w:cs="Arial"/>
        </w:rPr>
      </w:pPr>
      <w:r w:rsidRPr="00CA312D">
        <w:rPr>
          <w:b/>
          <w:bCs/>
          <w:color w:val="365F91" w:themeColor="accent1" w:themeShade="BF"/>
          <w:sz w:val="22"/>
          <w:szCs w:val="22"/>
        </w:rPr>
        <w:t>Propos</w:t>
      </w:r>
      <w:r>
        <w:rPr>
          <w:b/>
          <w:bCs/>
          <w:color w:val="365F91" w:themeColor="accent1" w:themeShade="BF"/>
          <w:sz w:val="22"/>
          <w:szCs w:val="22"/>
        </w:rPr>
        <w:t>al 2</w:t>
      </w:r>
      <w:r w:rsidRPr="00CA312D">
        <w:rPr>
          <w:b/>
          <w:bCs/>
          <w:color w:val="365F91" w:themeColor="accent1" w:themeShade="BF"/>
          <w:sz w:val="22"/>
          <w:szCs w:val="22"/>
        </w:rPr>
        <w:t>:</w:t>
      </w:r>
      <w:r w:rsidRPr="00CA312D">
        <w:rPr>
          <w:rFonts w:ascii="Arial" w:hAnsi="Arial" w:cs="Arial"/>
        </w:rPr>
        <w:t xml:space="preserve"> </w:t>
      </w:r>
      <w:r>
        <w:rPr>
          <w:rFonts w:ascii="Arial" w:hAnsi="Arial" w:cs="Arial"/>
        </w:rPr>
        <w:tab/>
      </w:r>
      <w:r w:rsidRPr="00E01ECD">
        <w:rPr>
          <w:sz w:val="22"/>
          <w:szCs w:val="22"/>
        </w:rPr>
        <w:t>RAN4 replies to Question 6 as follows. From</w:t>
      </w:r>
      <w:r w:rsidRPr="00CA312D">
        <w:rPr>
          <w:sz w:val="22"/>
          <w:szCs w:val="22"/>
        </w:rPr>
        <w:t xml:space="preserve"> RAN4 perspective, the main difference is with respect to measurement period for measurements on intra- and inter-frequency carriers. Regardless of whether gaps are used, inter-frequency measurements are based on that carriers are measured one-by-one. This may result in a significantly longer measurement period for inter-frequency than for intra-frequency measurements </w:t>
      </w:r>
      <w:r w:rsidR="00C41E5F">
        <w:rPr>
          <w:sz w:val="22"/>
          <w:szCs w:val="22"/>
        </w:rPr>
        <w:t>and thus</w:t>
      </w:r>
      <w:r w:rsidRPr="00CA312D">
        <w:rPr>
          <w:sz w:val="22"/>
          <w:szCs w:val="22"/>
        </w:rPr>
        <w:t xml:space="preserve"> may </w:t>
      </w:r>
      <w:r w:rsidR="00C41E5F">
        <w:rPr>
          <w:sz w:val="22"/>
          <w:szCs w:val="22"/>
        </w:rPr>
        <w:t>impose challenges for</w:t>
      </w:r>
      <w:r w:rsidRPr="00CA312D">
        <w:rPr>
          <w:sz w:val="22"/>
          <w:szCs w:val="22"/>
        </w:rPr>
        <w:t xml:space="preserve"> the TCI state handling.</w:t>
      </w:r>
    </w:p>
    <w:p w14:paraId="08D670C4" w14:textId="77777777" w:rsidR="00571905" w:rsidRPr="00B4479C" w:rsidRDefault="00571905" w:rsidP="00571905">
      <w:pPr>
        <w:spacing w:after="0"/>
        <w:ind w:left="1134" w:hanging="1134"/>
        <w:rPr>
          <w:b/>
          <w:bCs/>
          <w:color w:val="365F91" w:themeColor="accent1" w:themeShade="BF"/>
          <w:sz w:val="22"/>
          <w:szCs w:val="22"/>
        </w:rPr>
      </w:pPr>
      <w:r>
        <w:rPr>
          <w:b/>
          <w:bCs/>
          <w:color w:val="365F91" w:themeColor="accent1" w:themeShade="BF"/>
          <w:sz w:val="22"/>
          <w:szCs w:val="22"/>
        </w:rPr>
        <w:t xml:space="preserve">Proposal 3: </w:t>
      </w:r>
      <w:r w:rsidRPr="00E01ECD">
        <w:rPr>
          <w:sz w:val="22"/>
          <w:szCs w:val="22"/>
        </w:rPr>
        <w:t xml:space="preserve">RAN4 provides </w:t>
      </w:r>
      <w:r>
        <w:rPr>
          <w:sz w:val="22"/>
          <w:szCs w:val="22"/>
        </w:rPr>
        <w:t>further</w:t>
      </w:r>
      <w:r w:rsidRPr="00E01ECD">
        <w:rPr>
          <w:sz w:val="22"/>
          <w:szCs w:val="22"/>
        </w:rPr>
        <w:t xml:space="preserve"> </w:t>
      </w:r>
      <w:r>
        <w:rPr>
          <w:sz w:val="22"/>
          <w:szCs w:val="22"/>
        </w:rPr>
        <w:t>input</w:t>
      </w:r>
      <w:r w:rsidRPr="00E01ECD">
        <w:rPr>
          <w:sz w:val="22"/>
          <w:szCs w:val="22"/>
        </w:rPr>
        <w:t xml:space="preserve"> as follows.</w:t>
      </w:r>
      <w:r w:rsidRPr="00E01ECD">
        <w:rPr>
          <w:b/>
          <w:bCs/>
          <w:sz w:val="22"/>
          <w:szCs w:val="22"/>
        </w:rPr>
        <w:t xml:space="preserve"> </w:t>
      </w:r>
      <w:r w:rsidRPr="00590347">
        <w:rPr>
          <w:sz w:val="22"/>
          <w:szCs w:val="22"/>
        </w:rPr>
        <w:t xml:space="preserve">RAN4 would further like to </w:t>
      </w:r>
      <w:r>
        <w:rPr>
          <w:sz w:val="22"/>
          <w:szCs w:val="22"/>
        </w:rPr>
        <w:t>add</w:t>
      </w:r>
      <w:r w:rsidRPr="00590347">
        <w:rPr>
          <w:sz w:val="22"/>
          <w:szCs w:val="22"/>
        </w:rPr>
        <w:t xml:space="preserve"> that if increase in measurement effort (e.g. from serving cell measurement only, to serving cell and intra-frequency non-serving cell measurements</w:t>
      </w:r>
      <w:r>
        <w:rPr>
          <w:sz w:val="22"/>
          <w:szCs w:val="22"/>
        </w:rPr>
        <w:t>, or from inter-frequency L3 measurements to inter-frequency L1 and L3 measurements</w:t>
      </w:r>
      <w:r w:rsidRPr="00590347">
        <w:rPr>
          <w:sz w:val="22"/>
          <w:szCs w:val="22"/>
        </w:rPr>
        <w:t>) goes unmatched with increase in UE capacity for such measurements, the measurement periods may have to be extended. Further extending the measurement periods compared to baseline may have a negative impact on the TCI state handling.</w:t>
      </w:r>
    </w:p>
    <w:p w14:paraId="770A1D73" w14:textId="2EA127C9" w:rsidR="00571905" w:rsidRDefault="00571905" w:rsidP="00D812A2">
      <w:pPr>
        <w:rPr>
          <w:color w:val="17365D" w:themeColor="text2" w:themeShade="BF"/>
          <w:sz w:val="22"/>
          <w:szCs w:val="22"/>
        </w:rPr>
      </w:pP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2"/>
      <w:bookmarkEnd w:id="3"/>
    </w:p>
    <w:p w14:paraId="18BE7149" w14:textId="5367E2CD" w:rsidR="003F65E1" w:rsidRDefault="00BF5BAF" w:rsidP="000D717D">
      <w:pPr>
        <w:numPr>
          <w:ilvl w:val="0"/>
          <w:numId w:val="9"/>
        </w:numPr>
        <w:tabs>
          <w:tab w:val="left" w:pos="851"/>
        </w:tabs>
        <w:rPr>
          <w:rFonts w:ascii="Arial" w:hAnsi="Arial" w:cs="Arial"/>
          <w:sz w:val="22"/>
          <w:szCs w:val="22"/>
          <w:lang w:val="en-CA"/>
        </w:rPr>
      </w:pPr>
      <w:bookmarkStart w:id="8" w:name="_Ref61004649"/>
      <w:bookmarkStart w:id="9" w:name="_Ref67050273"/>
      <w:bookmarkEnd w:id="5"/>
      <w:bookmarkEnd w:id="6"/>
      <w:bookmarkEnd w:id="7"/>
      <w:r w:rsidRPr="00BF5BAF">
        <w:rPr>
          <w:rFonts w:ascii="Arial" w:hAnsi="Arial" w:cs="Arial"/>
          <w:sz w:val="22"/>
          <w:szCs w:val="22"/>
          <w:lang w:val="en-CA"/>
        </w:rPr>
        <w:t xml:space="preserve">R1-2102248 </w:t>
      </w:r>
      <w:r w:rsidR="00230DDD">
        <w:rPr>
          <w:rFonts w:ascii="Arial" w:hAnsi="Arial" w:cs="Arial"/>
          <w:sz w:val="22"/>
          <w:szCs w:val="22"/>
          <w:lang w:val="en-CA"/>
        </w:rPr>
        <w:t>“</w:t>
      </w:r>
      <w:r w:rsidRPr="00BF5BAF">
        <w:rPr>
          <w:rFonts w:ascii="Arial" w:hAnsi="Arial" w:cs="Arial"/>
          <w:sz w:val="22"/>
          <w:szCs w:val="22"/>
          <w:lang w:val="en-CA"/>
        </w:rPr>
        <w:t>LS on TCI State Update for L1/L2-Centric Inter-Cell Mobility</w:t>
      </w:r>
      <w:r w:rsidR="00230DDD">
        <w:rPr>
          <w:rFonts w:ascii="Arial" w:hAnsi="Arial" w:cs="Arial"/>
          <w:sz w:val="22"/>
          <w:szCs w:val="22"/>
          <w:lang w:val="en-CA"/>
        </w:rPr>
        <w:t xml:space="preserve">”, </w:t>
      </w:r>
      <w:bookmarkEnd w:id="8"/>
      <w:r>
        <w:rPr>
          <w:rFonts w:ascii="Arial" w:hAnsi="Arial" w:cs="Arial"/>
          <w:sz w:val="22"/>
          <w:szCs w:val="22"/>
          <w:lang w:val="en-CA"/>
        </w:rPr>
        <w:t>RAN1</w:t>
      </w:r>
      <w:bookmarkEnd w:id="9"/>
    </w:p>
    <w:p w14:paraId="3998AD39" w14:textId="2B619BDA" w:rsidR="00EA4AC1" w:rsidRDefault="00EA4AC1" w:rsidP="000D717D">
      <w:pPr>
        <w:numPr>
          <w:ilvl w:val="0"/>
          <w:numId w:val="9"/>
        </w:numPr>
        <w:tabs>
          <w:tab w:val="left" w:pos="851"/>
        </w:tabs>
        <w:rPr>
          <w:rFonts w:ascii="Arial" w:hAnsi="Arial" w:cs="Arial"/>
          <w:sz w:val="22"/>
          <w:szCs w:val="22"/>
          <w:lang w:val="en-CA"/>
        </w:rPr>
      </w:pPr>
      <w:bookmarkStart w:id="10" w:name="_Ref67496935"/>
      <w:r>
        <w:rPr>
          <w:rFonts w:ascii="Arial" w:hAnsi="Arial" w:cs="Arial"/>
          <w:sz w:val="22"/>
          <w:szCs w:val="22"/>
          <w:lang w:val="en-CA"/>
        </w:rPr>
        <w:t>R1-2102209 “LS on Agreements Pertaining to L1/L2-Centric Inter-Cell Mobility”, RAN1</w:t>
      </w:r>
      <w:bookmarkEnd w:id="10"/>
    </w:p>
    <w:p w14:paraId="5AA4BD08" w14:textId="007C88F1" w:rsidR="00870E11" w:rsidRDefault="00870E11" w:rsidP="000D717D">
      <w:pPr>
        <w:numPr>
          <w:ilvl w:val="0"/>
          <w:numId w:val="9"/>
        </w:numPr>
        <w:tabs>
          <w:tab w:val="left" w:pos="851"/>
        </w:tabs>
        <w:rPr>
          <w:rFonts w:ascii="Arial" w:hAnsi="Arial" w:cs="Arial"/>
          <w:sz w:val="22"/>
          <w:szCs w:val="22"/>
          <w:lang w:val="en-CA"/>
        </w:rPr>
      </w:pPr>
      <w:bookmarkStart w:id="11" w:name="_Ref71546022"/>
      <w:r>
        <w:rPr>
          <w:rFonts w:ascii="Arial" w:hAnsi="Arial" w:cs="Arial"/>
          <w:sz w:val="22"/>
          <w:szCs w:val="22"/>
          <w:lang w:val="en-CA"/>
        </w:rPr>
        <w:t>R4-2105838 “</w:t>
      </w:r>
      <w:r w:rsidRPr="00870E11">
        <w:rPr>
          <w:rFonts w:ascii="Arial" w:hAnsi="Arial" w:cs="Arial"/>
          <w:sz w:val="22"/>
          <w:szCs w:val="22"/>
          <w:lang w:val="en-CA"/>
        </w:rPr>
        <w:t>WF on FeMIMO L1/L2-Centric Inter-Cell Mobility</w:t>
      </w:r>
      <w:r>
        <w:rPr>
          <w:rFonts w:ascii="Arial" w:hAnsi="Arial" w:cs="Arial"/>
          <w:sz w:val="22"/>
          <w:szCs w:val="22"/>
          <w:lang w:val="en-CA"/>
        </w:rPr>
        <w:t>”, Samsung</w:t>
      </w:r>
      <w:bookmarkEnd w:id="11"/>
    </w:p>
    <w:sectPr w:rsidR="00870E11"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4D900" w14:textId="77777777" w:rsidR="00B1336E" w:rsidRDefault="00B1336E">
      <w:r>
        <w:separator/>
      </w:r>
    </w:p>
  </w:endnote>
  <w:endnote w:type="continuationSeparator" w:id="0">
    <w:p w14:paraId="3873CA87" w14:textId="77777777" w:rsidR="00B1336E" w:rsidRDefault="00B1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CC9EA" w14:textId="77777777" w:rsidR="00B1336E" w:rsidRDefault="00B1336E">
      <w:r>
        <w:separator/>
      </w:r>
    </w:p>
  </w:footnote>
  <w:footnote w:type="continuationSeparator" w:id="0">
    <w:p w14:paraId="38A2BCC2" w14:textId="77777777" w:rsidR="00B1336E" w:rsidRDefault="00B13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37"/>
  </w:num>
  <w:num w:numId="3">
    <w:abstractNumId w:val="33"/>
  </w:num>
  <w:num w:numId="4">
    <w:abstractNumId w:val="20"/>
  </w:num>
  <w:num w:numId="5">
    <w:abstractNumId w:val="23"/>
  </w:num>
  <w:num w:numId="6">
    <w:abstractNumId w:val="3"/>
  </w:num>
  <w:num w:numId="7">
    <w:abstractNumId w:val="2"/>
  </w:num>
  <w:num w:numId="8">
    <w:abstractNumId w:val="40"/>
  </w:num>
  <w:num w:numId="9">
    <w:abstractNumId w:val="29"/>
  </w:num>
  <w:num w:numId="10">
    <w:abstractNumId w:val="32"/>
  </w:num>
  <w:num w:numId="11">
    <w:abstractNumId w:val="24"/>
  </w:num>
  <w:num w:numId="12">
    <w:abstractNumId w:val="8"/>
  </w:num>
  <w:num w:numId="13">
    <w:abstractNumId w:val="27"/>
  </w:num>
  <w:num w:numId="14">
    <w:abstractNumId w:val="15"/>
  </w:num>
  <w:num w:numId="15">
    <w:abstractNumId w:val="5"/>
  </w:num>
  <w:num w:numId="16">
    <w:abstractNumId w:val="35"/>
  </w:num>
  <w:num w:numId="17">
    <w:abstractNumId w:val="0"/>
  </w:num>
  <w:num w:numId="18">
    <w:abstractNumId w:val="25"/>
  </w:num>
  <w:num w:numId="19">
    <w:abstractNumId w:val="12"/>
  </w:num>
  <w:num w:numId="20">
    <w:abstractNumId w:val="10"/>
  </w:num>
  <w:num w:numId="21">
    <w:abstractNumId w:val="31"/>
  </w:num>
  <w:num w:numId="22">
    <w:abstractNumId w:val="19"/>
  </w:num>
  <w:num w:numId="23">
    <w:abstractNumId w:val="6"/>
  </w:num>
  <w:num w:numId="24">
    <w:abstractNumId w:val="1"/>
  </w:num>
  <w:num w:numId="25">
    <w:abstractNumId w:val="11"/>
  </w:num>
  <w:num w:numId="26">
    <w:abstractNumId w:val="36"/>
  </w:num>
  <w:num w:numId="27">
    <w:abstractNumId w:val="17"/>
  </w:num>
  <w:num w:numId="28">
    <w:abstractNumId w:val="26"/>
  </w:num>
  <w:num w:numId="29">
    <w:abstractNumId w:val="14"/>
  </w:num>
  <w:num w:numId="30">
    <w:abstractNumId w:val="4"/>
  </w:num>
  <w:num w:numId="31">
    <w:abstractNumId w:val="38"/>
  </w:num>
  <w:num w:numId="32">
    <w:abstractNumId w:val="39"/>
  </w:num>
  <w:num w:numId="33">
    <w:abstractNumId w:val="9"/>
  </w:num>
  <w:num w:numId="34">
    <w:abstractNumId w:val="13"/>
  </w:num>
  <w:num w:numId="35">
    <w:abstractNumId w:val="7"/>
  </w:num>
  <w:num w:numId="36">
    <w:abstractNumId w:val="16"/>
  </w:num>
  <w:num w:numId="37">
    <w:abstractNumId w:val="34"/>
  </w:num>
  <w:num w:numId="38">
    <w:abstractNumId w:val="33"/>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4BA"/>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2CEF"/>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23B"/>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DD7"/>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0134"/>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778"/>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0E11"/>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36E"/>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117"/>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4B7"/>
    <w:rsid w:val="00E434BE"/>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977"/>
    <w:rsid w:val="00F50ED6"/>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2021-05-10T11:09:00Z</dcterms:created>
  <dcterms:modified xsi:type="dcterms:W3CDTF">2021-05-11T15:30:00Z</dcterms:modified>
</cp:coreProperties>
</file>